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7"/>
        <w:gridCol w:w="8123"/>
      </w:tblGrid>
      <w:tr w:rsidR="00E25DCF" w:rsidRPr="00E25DCF" w:rsidTr="00E25DC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DCF" w:rsidRPr="00E25DCF" w:rsidRDefault="00E25DCF" w:rsidP="00E25DCF">
            <w:pPr>
              <w:spacing w:after="150" w:line="240" w:lineRule="auto"/>
              <w:outlineLvl w:val="2"/>
              <w:rPr>
                <w:rFonts w:ascii="Lucida Sans Unicode" w:eastAsia="Times New Roman" w:hAnsi="Lucida Sans Unicode" w:cs="Lucida Sans Unicode"/>
                <w:b/>
                <w:bCs/>
                <w:color w:val="4B4B4B"/>
                <w:sz w:val="26"/>
                <w:szCs w:val="26"/>
                <w:lang w:eastAsia="it-IT"/>
              </w:rPr>
            </w:pPr>
            <w:r w:rsidRPr="00E25DCF">
              <w:rPr>
                <w:rFonts w:ascii="Lucida Sans Unicode" w:eastAsia="Times New Roman" w:hAnsi="Lucida Sans Unicode" w:cs="Lucida Sans Unicode"/>
                <w:b/>
                <w:bCs/>
                <w:color w:val="4B4B4B"/>
                <w:sz w:val="26"/>
                <w:szCs w:val="26"/>
                <w:lang w:eastAsia="it-IT"/>
              </w:rPr>
              <w:t>Legenda e Spiegazione Immagini</w:t>
            </w:r>
          </w:p>
        </w:tc>
      </w:tr>
      <w:tr w:rsidR="00E25DCF" w:rsidRPr="00E25DCF" w:rsidTr="00E25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DCF" w:rsidRPr="00E25DCF" w:rsidRDefault="00E25DCF" w:rsidP="00E25DCF">
            <w:pPr>
              <w:spacing w:after="0" w:line="240" w:lineRule="auto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noProof/>
                <w:color w:val="4B4B4B"/>
                <w:sz w:val="18"/>
                <w:szCs w:val="18"/>
                <w:lang w:eastAsia="it-IT"/>
              </w:rPr>
              <w:drawing>
                <wp:inline distT="0" distB="0" distL="0" distR="0">
                  <wp:extent cx="461645" cy="1694815"/>
                  <wp:effectExtent l="0" t="0" r="0" b="635"/>
                  <wp:docPr id="2" name="Immagine 2" descr="http://www.disano.it/resources/RES/8a8a8ab7178154d5011783772cf10804_slide_legen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disano.it/resources/RES/8a8a8ab7178154d5011783772cf10804_slide_legen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645" cy="1694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 </w:t>
            </w:r>
          </w:p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Luminanza orizzontale</w:t>
            </w:r>
          </w:p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 </w:t>
            </w:r>
          </w:p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 </w:t>
            </w:r>
          </w:p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Aree naturali protette o con presenza di osservatori astronomici riconosciuti</w:t>
            </w:r>
          </w:p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 </w:t>
            </w:r>
          </w:p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 </w:t>
            </w:r>
          </w:p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 </w:t>
            </w:r>
          </w:p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 </w:t>
            </w:r>
          </w:p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Emissione fuori bersaglio consentito</w:t>
            </w:r>
          </w:p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 </w:t>
            </w:r>
          </w:p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 </w:t>
            </w:r>
          </w:p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 </w:t>
            </w:r>
          </w:p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Orario di spegnimento o riduzione</w:t>
            </w:r>
          </w:p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 </w:t>
            </w:r>
          </w:p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 </w:t>
            </w:r>
          </w:p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1) Impianti di illuminazione prevalentemente a transito pedonale e/o misti.</w:t>
            </w: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br/>
              <w:t>2) Impianti di illuminazione stradale.</w:t>
            </w:r>
          </w:p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3) Impianti di illuminazione prevalentemente a transito pedonale e/o misti in aree protette.</w:t>
            </w: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br/>
              <w:t>4) Impianti di illuminazione stradale in aree protette.</w:t>
            </w: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br/>
              <w:t>5) Tipi di sorgenti consigliate.</w:t>
            </w:r>
          </w:p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6) Illuminazione di cartelloni pubblicitari.</w:t>
            </w:r>
          </w:p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7) Illuminazione di insegne.</w:t>
            </w:r>
          </w:p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8) Impianti di illuminazione di strutture architettoniche o a carattere monumentale.</w:t>
            </w:r>
          </w:p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9) Impianti di illuminazione di strutture architettoniche o a carattere monumentale in aree protette.</w:t>
            </w: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br/>
              <w:t>10) Edifici non monumentali illuminazione solo dall’alto verso il basso.</w:t>
            </w: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br/>
              <w:t>11) Aree sportive.</w:t>
            </w:r>
          </w:p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12) Tipi di apparecchi sconsigliati.</w:t>
            </w: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br/>
              <w:t>13) Impianti con numero di centri superiore a cinque, quando l’emissione complessiva degli apparecchi per y &gt; 90° non supera i 5000 lumen complessivi, limite di emissione della singola sorgente 500 lm.</w:t>
            </w: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br/>
              <w:t>14) Impianti di modesta entità aventi sorgenti luminose con emissione non superiore a</w:t>
            </w: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br/>
              <w:t>1500lm cadauna, fino ad un massimo di dieci centri luminosi, rapporto medio di emissione superiore dell’apparecchio inferiore a 8%.</w:t>
            </w: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br/>
              <w:t xml:space="preserve">15) Impianti con sorgenti di luce </w:t>
            </w:r>
            <w:proofErr w:type="spellStart"/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internalizzate</w:t>
            </w:r>
            <w:proofErr w:type="spellEnd"/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.</w:t>
            </w:r>
          </w:p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 </w:t>
            </w:r>
          </w:p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Queste illustrazioni rappresentano in modo schematico le indicazioni tecniche contenute nel Protocollo volontario d’intesa, che i sottoscrittori si sono impegnati a rispettare, per il risparmio energetico e la riduzione dell’inquinamento luminoso negli impianti esterni d’illuminazione pubblica e privata.</w:t>
            </w:r>
          </w:p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</w:p>
        </w:tc>
      </w:tr>
      <w:tr w:rsidR="00E25DCF" w:rsidRPr="00E25DCF" w:rsidTr="00E25DC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DCF" w:rsidRPr="00E25DCF" w:rsidRDefault="00E25DCF" w:rsidP="00E25DCF">
            <w:pPr>
              <w:spacing w:before="240" w:after="240" w:line="240" w:lineRule="auto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pict>
                <v:rect id="_x0000_i1026" style="width:0;height:.75pt" o:hralign="center" o:hrstd="t" o:hr="t" fillcolor="#a0a0a0" stroked="f"/>
              </w:pict>
            </w:r>
          </w:p>
        </w:tc>
      </w:tr>
    </w:tbl>
    <w:p w:rsidR="00E25DCF" w:rsidRPr="00E25DCF" w:rsidRDefault="00E25DCF" w:rsidP="00E25D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88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95"/>
        <w:gridCol w:w="55"/>
      </w:tblGrid>
      <w:tr w:rsidR="00E25DCF" w:rsidRPr="00E25DCF" w:rsidTr="00E25DC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DCF" w:rsidRPr="00E25DCF" w:rsidRDefault="00E25DCF" w:rsidP="00E2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E25DCF" w:rsidRPr="00E25DCF" w:rsidTr="00E25DCF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DCF" w:rsidRPr="00E25DCF" w:rsidRDefault="00E25DCF" w:rsidP="00E2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25DCF" w:rsidRPr="00E25DCF" w:rsidTr="00E25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DCF" w:rsidRPr="00E25DCF" w:rsidRDefault="00E25DCF" w:rsidP="00E25DCF">
            <w:pPr>
              <w:spacing w:after="0" w:line="240" w:lineRule="auto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noProof/>
                <w:color w:val="4B4B4B"/>
                <w:sz w:val="18"/>
                <w:szCs w:val="18"/>
                <w:lang w:eastAsia="it-IT"/>
              </w:rPr>
              <w:lastRenderedPageBreak/>
              <w:drawing>
                <wp:inline distT="0" distB="0" distL="0" distR="0">
                  <wp:extent cx="5159375" cy="6426200"/>
                  <wp:effectExtent l="0" t="0" r="3175" b="0"/>
                  <wp:docPr id="1" name="Immagine 1" descr="http://www.disano.it/resources/RES/8a8a8ab7178154d50117836ed05707f0_slid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disano.it/resources/RES/8a8a8ab7178154d50117836ed05707f0_slid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9375" cy="642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DCF" w:rsidRPr="00E25DCF" w:rsidRDefault="00E25DCF" w:rsidP="00E25DCF">
            <w:pPr>
              <w:spacing w:after="0" w:line="240" w:lineRule="auto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 </w:t>
            </w:r>
          </w:p>
        </w:tc>
      </w:tr>
    </w:tbl>
    <w:p w:rsidR="00E25DCF" w:rsidRPr="00E25DCF" w:rsidRDefault="00E25DCF" w:rsidP="00E25D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88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0"/>
      </w:tblGrid>
      <w:tr w:rsidR="00E25DCF" w:rsidRPr="00E25DCF" w:rsidTr="00E25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DCF" w:rsidRPr="00E25DCF" w:rsidRDefault="00E25DCF" w:rsidP="00E2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E25DCF" w:rsidRPr="00E25DCF" w:rsidTr="00E25DCF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L’espressione “</w:t>
            </w:r>
            <w:r w:rsidRPr="00E25DCF">
              <w:rPr>
                <w:rFonts w:ascii="Arial" w:eastAsia="Times New Roman" w:hAnsi="Arial" w:cs="Arial"/>
                <w:b/>
                <w:bCs/>
                <w:color w:val="4B4B4B"/>
                <w:sz w:val="18"/>
                <w:szCs w:val="18"/>
                <w:bdr w:val="none" w:sz="0" w:space="0" w:color="auto" w:frame="1"/>
                <w:lang w:eastAsia="it-IT"/>
              </w:rPr>
              <w:t>inquinamento luminoso</w:t>
            </w: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” indica la dispersione verso l’alto della luce artificiale, che con la crescita delle zone urbane e industriali è diventato un fenomeno sempre più diffuso. La causa principale è da ricercare nell'impiego di apparecchi non schermati che dirigono parte del flusso luminoso direttamente verso il cielo. Negli ultimi anni quindi sono state messe a punto norme e regolamenti che hanno l’obiettivo di limitare questo fenomeno di dispersione, nell’illuminazione pubblica e, più in generale, in tutte le luci utilizzate in esterno.</w:t>
            </w:r>
          </w:p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 </w:t>
            </w:r>
          </w:p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b/>
                <w:bCs/>
                <w:color w:val="4B4B4B"/>
                <w:sz w:val="18"/>
                <w:szCs w:val="18"/>
                <w:bdr w:val="none" w:sz="0" w:space="0" w:color="auto" w:frame="1"/>
                <w:lang w:eastAsia="it-IT"/>
              </w:rPr>
              <w:t>Criteri generali per ridurre l’inquinamento luminoso</w:t>
            </w:r>
          </w:p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 </w:t>
            </w:r>
          </w:p>
          <w:p w:rsidR="00E25DCF" w:rsidRPr="00E25DCF" w:rsidRDefault="00E25DCF" w:rsidP="00E25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t>• Utilizzo preferenziale di lampade al sodio</w:t>
            </w: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br/>
              <w:t>• Per l'illuminazione stradale usare i livelli minimi consigliati dalla norma UNI 10439</w:t>
            </w: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br/>
              <w:t>• Evitare l'impiego di apparecchi che abbiano un rendimento superiore del 3%</w:t>
            </w: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br/>
              <w:t>• Usare proiettori solo in caso di necessità ed in ogni caso con una inclinazione non &lt; 60°</w:t>
            </w: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br/>
              <w:t>• Utilizzare sistemi automatici in grado di ridurre il flusso luminoso del 50%</w:t>
            </w:r>
            <w:r w:rsidRPr="00E25DCF"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  <w:br/>
              <w:t>Nello schema che segue vediamo alcuni esempi di applicazioni corrette e non dell’illuminazione esterna</w:t>
            </w:r>
          </w:p>
        </w:tc>
      </w:tr>
    </w:tbl>
    <w:p w:rsidR="00D2474E" w:rsidRDefault="00D2474E"/>
    <w:p w:rsidR="00B9314B" w:rsidRDefault="00B9314B"/>
    <w:p w:rsidR="00B9314B" w:rsidRDefault="00B9314B"/>
    <w:p w:rsidR="00B9314B" w:rsidRDefault="00B9314B" w:rsidP="00B9314B">
      <w:pPr>
        <w:pStyle w:val="Titolo3"/>
        <w:rPr>
          <w:rFonts w:eastAsia="Times New Roman"/>
          <w:bdr w:val="none" w:sz="0" w:space="0" w:color="auto" w:frame="1"/>
          <w:lang w:eastAsia="it-IT"/>
        </w:rPr>
      </w:pPr>
      <w:r>
        <w:rPr>
          <w:rFonts w:eastAsia="Times New Roman"/>
          <w:bdr w:val="none" w:sz="0" w:space="0" w:color="auto" w:frame="1"/>
          <w:lang w:eastAsia="it-IT"/>
        </w:rPr>
        <w:lastRenderedPageBreak/>
        <w:t>Inquinamento luminoso</w:t>
      </w:r>
    </w:p>
    <w:p w:rsidR="00B9314B" w:rsidRPr="00B9314B" w:rsidRDefault="00B9314B" w:rsidP="00B9314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B4B4B"/>
          <w:sz w:val="18"/>
          <w:szCs w:val="18"/>
          <w:lang w:eastAsia="it-IT"/>
        </w:rPr>
      </w:pPr>
      <w:r w:rsidRPr="00B9314B">
        <w:rPr>
          <w:rFonts w:ascii="Verdana" w:eastAsia="Times New Roman" w:hAnsi="Verdana" w:cs="Arial"/>
          <w:color w:val="000000"/>
          <w:sz w:val="15"/>
          <w:szCs w:val="15"/>
          <w:bdr w:val="none" w:sz="0" w:space="0" w:color="auto" w:frame="1"/>
          <w:lang w:eastAsia="it-IT"/>
        </w:rPr>
        <w:t xml:space="preserve">Le tipologie degli apparecchi destinati a ciascun impianto sono definite dal PRIC (piano regolatore dell’illuminazione comunale), il quale fissa per ognuno di essi il massimo valore di </w:t>
      </w:r>
      <w:proofErr w:type="spellStart"/>
      <w:r w:rsidRPr="00B9314B">
        <w:rPr>
          <w:rFonts w:ascii="Verdana" w:eastAsia="Times New Roman" w:hAnsi="Verdana" w:cs="Arial"/>
          <w:color w:val="000000"/>
          <w:sz w:val="15"/>
          <w:szCs w:val="15"/>
          <w:bdr w:val="none" w:sz="0" w:space="0" w:color="auto" w:frame="1"/>
          <w:lang w:eastAsia="it-IT"/>
        </w:rPr>
        <w:t>Rn</w:t>
      </w:r>
      <w:proofErr w:type="spellEnd"/>
      <w:r w:rsidRPr="00B9314B">
        <w:rPr>
          <w:rFonts w:ascii="Verdana" w:eastAsia="Times New Roman" w:hAnsi="Verdana" w:cs="Arial"/>
          <w:color w:val="000000"/>
          <w:sz w:val="15"/>
          <w:szCs w:val="15"/>
          <w:bdr w:val="none" w:sz="0" w:space="0" w:color="auto" w:frame="1"/>
          <w:lang w:eastAsia="it-IT"/>
        </w:rPr>
        <w:t xml:space="preserve"> (rapporto medio di emissione superiore) in modo che complessivamente sull'intero territorio comunale non siano superati i valori prescritti dalla tabella o da regolamenti comunali qualora esistenti. Per essere rispondente alla norma un impianto (o semplicemente un apparecchio) deve rispondere al requisito indicato nella tabella seguente</w:t>
      </w:r>
    </w:p>
    <w:tbl>
      <w:tblPr>
        <w:tblW w:w="5000" w:type="pct"/>
        <w:tblBorders>
          <w:top w:val="single" w:sz="8" w:space="0" w:color="FF8A00"/>
          <w:left w:val="single" w:sz="8" w:space="0" w:color="FF8A00"/>
          <w:bottom w:val="single" w:sz="8" w:space="0" w:color="FF8A00"/>
          <w:right w:val="single" w:sz="8" w:space="0" w:color="FF8A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"/>
        <w:gridCol w:w="3588"/>
        <w:gridCol w:w="5074"/>
      </w:tblGrid>
      <w:tr w:rsidR="00B9314B" w:rsidRPr="00B9314B" w:rsidTr="00B9314B"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8A00"/>
            <w:vAlign w:val="center"/>
            <w:hideMark/>
          </w:tcPr>
          <w:p w:rsidR="00B9314B" w:rsidRPr="00B9314B" w:rsidRDefault="00B9314B" w:rsidP="00B931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B9314B">
              <w:rPr>
                <w:rFonts w:ascii="Verdana" w:eastAsia="Times New Roman" w:hAnsi="Verdana" w:cs="Arial"/>
                <w:color w:val="FFFFFF"/>
                <w:sz w:val="20"/>
                <w:szCs w:val="20"/>
                <w:bdr w:val="none" w:sz="0" w:space="0" w:color="auto" w:frame="1"/>
                <w:lang w:eastAsia="it-IT"/>
              </w:rPr>
              <w:t>Zona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8A00"/>
            <w:vAlign w:val="center"/>
            <w:hideMark/>
          </w:tcPr>
          <w:p w:rsidR="00B9314B" w:rsidRPr="00B9314B" w:rsidRDefault="00B9314B" w:rsidP="00B931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B9314B">
              <w:rPr>
                <w:rFonts w:ascii="Verdana" w:eastAsia="Times New Roman" w:hAnsi="Verdana" w:cs="Arial"/>
                <w:color w:val="FFFFFF"/>
                <w:sz w:val="20"/>
                <w:szCs w:val="20"/>
                <w:bdr w:val="none" w:sz="0" w:space="0" w:color="auto" w:frame="1"/>
                <w:lang w:eastAsia="it-IT"/>
              </w:rPr>
              <w:t>Tipo di impianto A*</w:t>
            </w:r>
            <w:r w:rsidRPr="00B9314B">
              <w:rPr>
                <w:rFonts w:ascii="Verdana" w:eastAsia="Times New Roman" w:hAnsi="Verdana" w:cs="Arial"/>
                <w:color w:val="FFFFFF"/>
                <w:sz w:val="20"/>
                <w:szCs w:val="20"/>
                <w:bdr w:val="none" w:sz="0" w:space="0" w:color="auto" w:frame="1"/>
                <w:lang w:eastAsia="it-IT"/>
              </w:rPr>
              <w:br/>
              <w:t xml:space="preserve">(stradale) </w:t>
            </w:r>
            <w:proofErr w:type="spellStart"/>
            <w:r w:rsidRPr="00B9314B">
              <w:rPr>
                <w:rFonts w:ascii="Verdana" w:eastAsia="Times New Roman" w:hAnsi="Verdana" w:cs="Arial"/>
                <w:color w:val="FFFFFF"/>
                <w:sz w:val="20"/>
                <w:szCs w:val="20"/>
                <w:bdr w:val="none" w:sz="0" w:space="0" w:color="auto" w:frame="1"/>
                <w:lang w:eastAsia="it-IT"/>
              </w:rPr>
              <w:t>Rn</w:t>
            </w:r>
            <w:proofErr w:type="spellEnd"/>
            <w:r w:rsidRPr="00B9314B">
              <w:rPr>
                <w:rFonts w:ascii="Verdana" w:eastAsia="Times New Roman" w:hAnsi="Verdana" w:cs="Arial"/>
                <w:color w:val="FFFFFF"/>
                <w:sz w:val="20"/>
                <w:szCs w:val="20"/>
                <w:bdr w:val="none" w:sz="0" w:space="0" w:color="auto" w:frame="1"/>
                <w:lang w:eastAsia="it-IT"/>
              </w:rPr>
              <w:t>%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8A00"/>
            <w:vAlign w:val="center"/>
            <w:hideMark/>
          </w:tcPr>
          <w:p w:rsidR="00B9314B" w:rsidRPr="00B9314B" w:rsidRDefault="00B9314B" w:rsidP="00B931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B9314B">
              <w:rPr>
                <w:rFonts w:ascii="Verdana" w:eastAsia="Times New Roman" w:hAnsi="Verdana" w:cs="Arial"/>
                <w:color w:val="FFFFFF"/>
                <w:sz w:val="20"/>
                <w:szCs w:val="20"/>
                <w:bdr w:val="none" w:sz="0" w:space="0" w:color="auto" w:frame="1"/>
                <w:lang w:eastAsia="it-IT"/>
              </w:rPr>
              <w:t>Tipo di impianto A**</w:t>
            </w:r>
            <w:r w:rsidRPr="00B9314B">
              <w:rPr>
                <w:rFonts w:ascii="Verdana" w:eastAsia="Times New Roman" w:hAnsi="Verdana" w:cs="Arial"/>
                <w:color w:val="FFFFFF"/>
                <w:sz w:val="20"/>
                <w:szCs w:val="20"/>
                <w:bdr w:val="none" w:sz="0" w:space="0" w:color="auto" w:frame="1"/>
                <w:lang w:eastAsia="it-IT"/>
              </w:rPr>
              <w:br/>
              <w:t xml:space="preserve">(non stradale) B, C, D </w:t>
            </w:r>
            <w:proofErr w:type="spellStart"/>
            <w:r w:rsidRPr="00B9314B">
              <w:rPr>
                <w:rFonts w:ascii="Verdana" w:eastAsia="Times New Roman" w:hAnsi="Verdana" w:cs="Arial"/>
                <w:color w:val="FFFFFF"/>
                <w:sz w:val="20"/>
                <w:szCs w:val="20"/>
                <w:bdr w:val="none" w:sz="0" w:space="0" w:color="auto" w:frame="1"/>
                <w:lang w:eastAsia="it-IT"/>
              </w:rPr>
              <w:t>Rn</w:t>
            </w:r>
            <w:proofErr w:type="spellEnd"/>
            <w:r w:rsidRPr="00B9314B">
              <w:rPr>
                <w:rFonts w:ascii="Verdana" w:eastAsia="Times New Roman" w:hAnsi="Verdana" w:cs="Arial"/>
                <w:color w:val="FFFFFF"/>
                <w:sz w:val="20"/>
                <w:szCs w:val="20"/>
                <w:bdr w:val="none" w:sz="0" w:space="0" w:color="auto" w:frame="1"/>
                <w:lang w:eastAsia="it-IT"/>
              </w:rPr>
              <w:t>%</w:t>
            </w:r>
          </w:p>
        </w:tc>
      </w:tr>
      <w:tr w:rsidR="00B9314B" w:rsidRPr="00B9314B" w:rsidTr="00B9314B">
        <w:tc>
          <w:tcPr>
            <w:tcW w:w="0" w:type="auto"/>
            <w:tcBorders>
              <w:top w:val="nil"/>
              <w:left w:val="nil"/>
              <w:bottom w:val="single" w:sz="8" w:space="0" w:color="FF8A00"/>
              <w:right w:val="nil"/>
            </w:tcBorders>
            <w:shd w:val="clear" w:color="auto" w:fill="auto"/>
            <w:vAlign w:val="center"/>
            <w:hideMark/>
          </w:tcPr>
          <w:p w:rsidR="00B9314B" w:rsidRPr="00B9314B" w:rsidRDefault="00B9314B" w:rsidP="00B931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B9314B">
              <w:rPr>
                <w:rFonts w:ascii="Verdana" w:eastAsia="Times New Roman" w:hAnsi="Verdana" w:cs="Arial"/>
                <w:color w:val="000000"/>
                <w:sz w:val="20"/>
                <w:szCs w:val="20"/>
                <w:bdr w:val="none" w:sz="0" w:space="0" w:color="auto" w:frame="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8A00"/>
              <w:right w:val="nil"/>
            </w:tcBorders>
            <w:shd w:val="clear" w:color="auto" w:fill="auto"/>
            <w:vAlign w:val="center"/>
            <w:hideMark/>
          </w:tcPr>
          <w:p w:rsidR="00B9314B" w:rsidRPr="00B9314B" w:rsidRDefault="00B9314B" w:rsidP="00B931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B9314B">
              <w:rPr>
                <w:rFonts w:ascii="Verdana" w:eastAsia="Times New Roman" w:hAnsi="Verdana" w:cs="Arial"/>
                <w:color w:val="000000"/>
                <w:sz w:val="20"/>
                <w:szCs w:val="20"/>
                <w:bdr w:val="none" w:sz="0" w:space="0" w:color="auto" w:frame="1"/>
                <w:lang w:eastAsia="it-IT"/>
              </w:rPr>
              <w:t>&lt;1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8A00"/>
              <w:right w:val="nil"/>
            </w:tcBorders>
            <w:shd w:val="clear" w:color="auto" w:fill="auto"/>
            <w:vAlign w:val="center"/>
            <w:hideMark/>
          </w:tcPr>
          <w:p w:rsidR="00B9314B" w:rsidRPr="00B9314B" w:rsidRDefault="00B9314B" w:rsidP="00B931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B9314B">
              <w:rPr>
                <w:rFonts w:ascii="Verdana" w:eastAsia="Times New Roman" w:hAnsi="Verdana" w:cs="Arial"/>
                <w:color w:val="000000"/>
                <w:sz w:val="20"/>
                <w:szCs w:val="20"/>
                <w:bdr w:val="none" w:sz="0" w:space="0" w:color="auto" w:frame="1"/>
                <w:lang w:eastAsia="it-IT"/>
              </w:rPr>
              <w:t>&lt;1</w:t>
            </w:r>
          </w:p>
        </w:tc>
      </w:tr>
      <w:tr w:rsidR="00B9314B" w:rsidRPr="00B9314B" w:rsidTr="00B9314B">
        <w:tc>
          <w:tcPr>
            <w:tcW w:w="0" w:type="auto"/>
            <w:tcBorders>
              <w:top w:val="nil"/>
              <w:left w:val="nil"/>
              <w:bottom w:val="single" w:sz="8" w:space="0" w:color="FF8A00"/>
              <w:right w:val="nil"/>
            </w:tcBorders>
            <w:shd w:val="clear" w:color="auto" w:fill="auto"/>
            <w:vAlign w:val="center"/>
            <w:hideMark/>
          </w:tcPr>
          <w:p w:rsidR="00B9314B" w:rsidRPr="00B9314B" w:rsidRDefault="00B9314B" w:rsidP="00B931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B9314B">
              <w:rPr>
                <w:rFonts w:ascii="Verdana" w:eastAsia="Times New Roman" w:hAnsi="Verdana" w:cs="Arial"/>
                <w:color w:val="000000"/>
                <w:sz w:val="20"/>
                <w:szCs w:val="20"/>
                <w:bdr w:val="none" w:sz="0" w:space="0" w:color="auto" w:frame="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8A00"/>
              <w:right w:val="nil"/>
            </w:tcBorders>
            <w:shd w:val="clear" w:color="auto" w:fill="auto"/>
            <w:vAlign w:val="center"/>
            <w:hideMark/>
          </w:tcPr>
          <w:p w:rsidR="00B9314B" w:rsidRPr="00B9314B" w:rsidRDefault="00B9314B" w:rsidP="00B931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B9314B">
              <w:rPr>
                <w:rFonts w:ascii="Verdana" w:eastAsia="Times New Roman" w:hAnsi="Verdana" w:cs="Arial"/>
                <w:color w:val="000000"/>
                <w:sz w:val="20"/>
                <w:szCs w:val="20"/>
                <w:bdr w:val="none" w:sz="0" w:space="0" w:color="auto" w:frame="1"/>
                <w:lang w:eastAsia="it-IT"/>
              </w:rPr>
              <w:t>&lt;3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8A00"/>
              <w:right w:val="nil"/>
            </w:tcBorders>
            <w:shd w:val="clear" w:color="auto" w:fill="auto"/>
            <w:vAlign w:val="center"/>
            <w:hideMark/>
          </w:tcPr>
          <w:p w:rsidR="00B9314B" w:rsidRPr="00B9314B" w:rsidRDefault="00B9314B" w:rsidP="00B931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B9314B">
              <w:rPr>
                <w:rFonts w:ascii="Verdana" w:eastAsia="Times New Roman" w:hAnsi="Verdana" w:cs="Arial"/>
                <w:color w:val="000000"/>
                <w:sz w:val="20"/>
                <w:szCs w:val="20"/>
                <w:bdr w:val="none" w:sz="0" w:space="0" w:color="auto" w:frame="1"/>
                <w:lang w:eastAsia="it-IT"/>
              </w:rPr>
              <w:t>&lt;9</w:t>
            </w:r>
          </w:p>
        </w:tc>
      </w:tr>
      <w:tr w:rsidR="00B9314B" w:rsidRPr="00B9314B" w:rsidTr="00B9314B">
        <w:tc>
          <w:tcPr>
            <w:tcW w:w="0" w:type="auto"/>
            <w:tcBorders>
              <w:top w:val="nil"/>
              <w:left w:val="nil"/>
              <w:bottom w:val="single" w:sz="8" w:space="0" w:color="FF8A00"/>
              <w:right w:val="nil"/>
            </w:tcBorders>
            <w:shd w:val="clear" w:color="auto" w:fill="auto"/>
            <w:vAlign w:val="center"/>
            <w:hideMark/>
          </w:tcPr>
          <w:p w:rsidR="00B9314B" w:rsidRPr="00B9314B" w:rsidRDefault="00B9314B" w:rsidP="00B931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B9314B">
              <w:rPr>
                <w:rFonts w:ascii="Verdana" w:eastAsia="Times New Roman" w:hAnsi="Verdana" w:cs="Arial"/>
                <w:color w:val="000000"/>
                <w:sz w:val="20"/>
                <w:szCs w:val="20"/>
                <w:bdr w:val="none" w:sz="0" w:space="0" w:color="auto" w:frame="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8A00"/>
              <w:right w:val="nil"/>
            </w:tcBorders>
            <w:shd w:val="clear" w:color="auto" w:fill="auto"/>
            <w:vAlign w:val="center"/>
            <w:hideMark/>
          </w:tcPr>
          <w:p w:rsidR="00B9314B" w:rsidRPr="00B9314B" w:rsidRDefault="00B9314B" w:rsidP="00B931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B9314B">
              <w:rPr>
                <w:rFonts w:ascii="Verdana" w:eastAsia="Times New Roman" w:hAnsi="Verdana" w:cs="Arial"/>
                <w:color w:val="000000"/>
                <w:sz w:val="20"/>
                <w:szCs w:val="20"/>
                <w:bdr w:val="none" w:sz="0" w:space="0" w:color="auto" w:frame="1"/>
                <w:lang w:eastAsia="it-IT"/>
              </w:rPr>
              <w:t>&lt;3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8A00"/>
              <w:right w:val="nil"/>
            </w:tcBorders>
            <w:shd w:val="clear" w:color="auto" w:fill="auto"/>
            <w:vAlign w:val="center"/>
            <w:hideMark/>
          </w:tcPr>
          <w:p w:rsidR="00B9314B" w:rsidRPr="00B9314B" w:rsidRDefault="00B9314B" w:rsidP="00B931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B4B4B"/>
                <w:sz w:val="18"/>
                <w:szCs w:val="18"/>
                <w:lang w:eastAsia="it-IT"/>
              </w:rPr>
            </w:pPr>
            <w:r w:rsidRPr="00B9314B">
              <w:rPr>
                <w:rFonts w:ascii="Verdana" w:eastAsia="Times New Roman" w:hAnsi="Verdana" w:cs="Arial"/>
                <w:color w:val="000000"/>
                <w:sz w:val="20"/>
                <w:szCs w:val="20"/>
                <w:bdr w:val="none" w:sz="0" w:space="0" w:color="auto" w:frame="1"/>
                <w:lang w:eastAsia="it-IT"/>
              </w:rPr>
              <w:t>&lt;23</w:t>
            </w:r>
          </w:p>
        </w:tc>
      </w:tr>
    </w:tbl>
    <w:p w:rsidR="00B9314B" w:rsidRPr="00B9314B" w:rsidRDefault="00B9314B" w:rsidP="00B9314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B4B4B"/>
          <w:sz w:val="18"/>
          <w:szCs w:val="18"/>
          <w:lang w:eastAsia="it-IT"/>
        </w:rPr>
      </w:pPr>
      <w:r w:rsidRPr="00B9314B">
        <w:rPr>
          <w:rFonts w:ascii="Verdana" w:eastAsia="Times New Roman" w:hAnsi="Verdana" w:cs="Arial"/>
          <w:color w:val="000000"/>
          <w:sz w:val="15"/>
          <w:szCs w:val="15"/>
          <w:bdr w:val="none" w:sz="0" w:space="0" w:color="auto" w:frame="1"/>
          <w:lang w:eastAsia="it-IT"/>
        </w:rPr>
        <w:t>Ogni Regione ha realizzato una legge nella quale sono riportati i valori in percentuale del flusso luminoso nell'emisfero superiore ammessi nella singola regione, tenendo comunque sempre ben presente la suddivisione per zone.</w:t>
      </w:r>
      <w:r w:rsidRPr="00B9314B">
        <w:rPr>
          <w:rFonts w:ascii="Verdana" w:eastAsia="Times New Roman" w:hAnsi="Verdana" w:cs="Arial"/>
          <w:color w:val="000000"/>
          <w:sz w:val="15"/>
          <w:szCs w:val="15"/>
          <w:bdr w:val="none" w:sz="0" w:space="0" w:color="auto" w:frame="1"/>
          <w:lang w:eastAsia="it-IT"/>
        </w:rPr>
        <w:br/>
        <w:t>La norma UNI 10819, inoltre, fissa:</w:t>
      </w:r>
    </w:p>
    <w:p w:rsidR="00B9314B" w:rsidRPr="00B9314B" w:rsidRDefault="00B9314B" w:rsidP="00B9314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B4B4B"/>
          <w:sz w:val="18"/>
          <w:szCs w:val="18"/>
          <w:lang w:eastAsia="it-IT"/>
        </w:rPr>
      </w:pPr>
      <w:r w:rsidRPr="00B9314B">
        <w:rPr>
          <w:rFonts w:ascii="Verdana" w:eastAsia="Times New Roman" w:hAnsi="Verdana" w:cs="Arial"/>
          <w:color w:val="000000"/>
          <w:sz w:val="15"/>
          <w:szCs w:val="15"/>
          <w:bdr w:val="none" w:sz="0" w:space="0" w:color="auto" w:frame="1"/>
          <w:lang w:eastAsia="it-IT"/>
        </w:rPr>
        <w:t>- i criteri di valutazione degli impianti;</w:t>
      </w:r>
    </w:p>
    <w:p w:rsidR="00B9314B" w:rsidRPr="00B9314B" w:rsidRDefault="00B9314B" w:rsidP="00B9314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B4B4B"/>
          <w:sz w:val="18"/>
          <w:szCs w:val="18"/>
          <w:lang w:eastAsia="it-IT"/>
        </w:rPr>
      </w:pPr>
      <w:r w:rsidRPr="00B9314B">
        <w:rPr>
          <w:rFonts w:ascii="Verdana" w:eastAsia="Times New Roman" w:hAnsi="Verdana" w:cs="Arial"/>
          <w:color w:val="000000"/>
          <w:sz w:val="15"/>
          <w:szCs w:val="15"/>
          <w:bdr w:val="none" w:sz="0" w:space="0" w:color="auto" w:frame="1"/>
          <w:lang w:eastAsia="it-IT"/>
        </w:rPr>
        <w:t>- le regole per le verifiche illuminotecniche;</w:t>
      </w:r>
    </w:p>
    <w:p w:rsidR="00B9314B" w:rsidRPr="00B9314B" w:rsidRDefault="00B9314B" w:rsidP="00B9314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B4B4B"/>
          <w:sz w:val="18"/>
          <w:szCs w:val="18"/>
          <w:lang w:eastAsia="it-IT"/>
        </w:rPr>
      </w:pPr>
      <w:r w:rsidRPr="00B9314B">
        <w:rPr>
          <w:rFonts w:ascii="Verdana" w:eastAsia="Times New Roman" w:hAnsi="Verdana" w:cs="Arial"/>
          <w:color w:val="000000"/>
          <w:sz w:val="15"/>
          <w:szCs w:val="15"/>
          <w:bdr w:val="none" w:sz="0" w:space="0" w:color="auto" w:frame="1"/>
          <w:lang w:eastAsia="it-IT"/>
        </w:rPr>
        <w:t>- angoli di orientamento, schermature, inclinazioni, che il costruttore deve rispettare nella realizzazione di una armatura;</w:t>
      </w:r>
    </w:p>
    <w:p w:rsidR="00B9314B" w:rsidRPr="00B9314B" w:rsidRDefault="00B9314B" w:rsidP="00B9314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B4B4B"/>
          <w:sz w:val="18"/>
          <w:szCs w:val="18"/>
          <w:lang w:eastAsia="it-IT"/>
        </w:rPr>
      </w:pPr>
      <w:r w:rsidRPr="00B9314B">
        <w:rPr>
          <w:rFonts w:ascii="Verdana" w:eastAsia="Times New Roman" w:hAnsi="Verdana" w:cs="Arial"/>
          <w:color w:val="000000"/>
          <w:sz w:val="15"/>
          <w:szCs w:val="15"/>
          <w:bdr w:val="none" w:sz="0" w:space="0" w:color="auto" w:frame="1"/>
          <w:lang w:eastAsia="it-IT"/>
        </w:rPr>
        <w:t>- considera importante il PRCIP.</w:t>
      </w:r>
    </w:p>
    <w:p w:rsidR="00B9314B" w:rsidRDefault="00B9314B"/>
    <w:p w:rsidR="005F10CE" w:rsidRPr="005F10CE" w:rsidRDefault="005F10CE" w:rsidP="005F10CE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20"/>
          <w:szCs w:val="20"/>
        </w:rPr>
      </w:pPr>
      <w:r w:rsidRPr="005F10CE">
        <w:rPr>
          <w:rStyle w:val="Enfasigrassetto"/>
          <w:rFonts w:eastAsiaTheme="majorEastAsia" w:cs="Arial"/>
          <w:color w:val="4B4B4B"/>
          <w:sz w:val="20"/>
          <w:szCs w:val="20"/>
          <w:bdr w:val="none" w:sz="0" w:space="0" w:color="auto" w:frame="1"/>
        </w:rPr>
        <w:t>Principi generali</w:t>
      </w:r>
    </w:p>
    <w:p w:rsidR="005F10CE" w:rsidRPr="005F10CE" w:rsidRDefault="005F10CE" w:rsidP="005F10CE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20"/>
          <w:szCs w:val="20"/>
        </w:rPr>
      </w:pPr>
      <w:r w:rsidRPr="005F10CE">
        <w:rPr>
          <w:rFonts w:ascii="Arial" w:hAnsi="Arial" w:cs="Arial"/>
          <w:color w:val="4B4B4B"/>
          <w:sz w:val="20"/>
          <w:szCs w:val="20"/>
        </w:rPr>
        <w:br/>
        <w:t>La UNI 10819 affronta problematiche inerenti la limitazione della dispersione verso il cielo della luce artificiale, argomento oggetto di diversi interventi legislativi a livello nazionale e regionale. Non si applica agli impianti di gallerie e sottopassi, ad ambienti paesaggistici soggetti a particolari prescrizioni locali.</w:t>
      </w:r>
      <w:r w:rsidRPr="005F10CE">
        <w:rPr>
          <w:rFonts w:ascii="Arial" w:hAnsi="Arial" w:cs="Arial"/>
          <w:color w:val="4B4B4B"/>
          <w:sz w:val="20"/>
          <w:szCs w:val="20"/>
        </w:rPr>
        <w:br/>
        <w:t>Per la stesura di questa norma sono state prese come riferimento:</w:t>
      </w:r>
    </w:p>
    <w:p w:rsidR="005F10CE" w:rsidRPr="005F10CE" w:rsidRDefault="005F10CE" w:rsidP="005F10CE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20"/>
          <w:szCs w:val="20"/>
        </w:rPr>
      </w:pPr>
      <w:r w:rsidRPr="005F10CE">
        <w:rPr>
          <w:rFonts w:ascii="Arial" w:hAnsi="Arial" w:cs="Arial"/>
          <w:color w:val="4B4B4B"/>
          <w:sz w:val="20"/>
          <w:szCs w:val="20"/>
        </w:rPr>
        <w:br/>
        <w:t>• UNI 10439 strade con traffico motorizzato</w:t>
      </w:r>
      <w:r w:rsidRPr="005F10CE">
        <w:rPr>
          <w:rFonts w:ascii="Arial" w:hAnsi="Arial" w:cs="Arial"/>
          <w:color w:val="4B4B4B"/>
          <w:sz w:val="20"/>
          <w:szCs w:val="20"/>
        </w:rPr>
        <w:br/>
        <w:t>• UNI 10671 apparecchi di illuminazione</w:t>
      </w:r>
      <w:r w:rsidRPr="005F10CE">
        <w:rPr>
          <w:rFonts w:ascii="Arial" w:hAnsi="Arial" w:cs="Arial"/>
          <w:color w:val="4B4B4B"/>
          <w:sz w:val="20"/>
          <w:szCs w:val="20"/>
        </w:rPr>
        <w:br/>
        <w:t xml:space="preserve">• CIE 17/4/87 </w:t>
      </w:r>
      <w:proofErr w:type="spellStart"/>
      <w:r w:rsidRPr="005F10CE">
        <w:rPr>
          <w:rFonts w:ascii="Arial" w:hAnsi="Arial" w:cs="Arial"/>
          <w:color w:val="4B4B4B"/>
          <w:sz w:val="20"/>
          <w:szCs w:val="20"/>
        </w:rPr>
        <w:t>international</w:t>
      </w:r>
      <w:proofErr w:type="spellEnd"/>
      <w:r w:rsidRPr="005F10CE">
        <w:rPr>
          <w:rFonts w:ascii="Arial" w:hAnsi="Arial" w:cs="Arial"/>
          <w:color w:val="4B4B4B"/>
          <w:sz w:val="20"/>
          <w:szCs w:val="20"/>
        </w:rPr>
        <w:t xml:space="preserve"> </w:t>
      </w:r>
      <w:proofErr w:type="spellStart"/>
      <w:r w:rsidRPr="005F10CE">
        <w:rPr>
          <w:rFonts w:ascii="Arial" w:hAnsi="Arial" w:cs="Arial"/>
          <w:color w:val="4B4B4B"/>
          <w:sz w:val="20"/>
          <w:szCs w:val="20"/>
        </w:rPr>
        <w:t>vocabulary</w:t>
      </w:r>
      <w:proofErr w:type="spellEnd"/>
      <w:r w:rsidRPr="005F10CE">
        <w:rPr>
          <w:rFonts w:ascii="Arial" w:hAnsi="Arial" w:cs="Arial"/>
          <w:color w:val="4B4B4B"/>
          <w:sz w:val="20"/>
          <w:szCs w:val="20"/>
        </w:rPr>
        <w:t xml:space="preserve"> for </w:t>
      </w:r>
      <w:proofErr w:type="spellStart"/>
      <w:r w:rsidRPr="005F10CE">
        <w:rPr>
          <w:rFonts w:ascii="Arial" w:hAnsi="Arial" w:cs="Arial"/>
          <w:color w:val="4B4B4B"/>
          <w:sz w:val="20"/>
          <w:szCs w:val="20"/>
        </w:rPr>
        <w:t>lighting</w:t>
      </w:r>
      <w:proofErr w:type="spellEnd"/>
      <w:r w:rsidRPr="005F10CE">
        <w:rPr>
          <w:rFonts w:ascii="Arial" w:hAnsi="Arial" w:cs="Arial"/>
          <w:color w:val="4B4B4B"/>
          <w:sz w:val="20"/>
          <w:szCs w:val="20"/>
        </w:rPr>
        <w:br/>
        <w:t xml:space="preserve">• CIE 92-1982 guide to the </w:t>
      </w:r>
      <w:proofErr w:type="spellStart"/>
      <w:r w:rsidRPr="005F10CE">
        <w:rPr>
          <w:rFonts w:ascii="Arial" w:hAnsi="Arial" w:cs="Arial"/>
          <w:color w:val="4B4B4B"/>
          <w:sz w:val="20"/>
          <w:szCs w:val="20"/>
        </w:rPr>
        <w:t>lighting</w:t>
      </w:r>
      <w:proofErr w:type="spellEnd"/>
      <w:r w:rsidRPr="005F10CE">
        <w:rPr>
          <w:rFonts w:ascii="Arial" w:hAnsi="Arial" w:cs="Arial"/>
          <w:color w:val="4B4B4B"/>
          <w:sz w:val="20"/>
          <w:szCs w:val="20"/>
        </w:rPr>
        <w:t xml:space="preserve"> of </w:t>
      </w:r>
      <w:proofErr w:type="spellStart"/>
      <w:r w:rsidRPr="005F10CE">
        <w:rPr>
          <w:rFonts w:ascii="Arial" w:hAnsi="Arial" w:cs="Arial"/>
          <w:color w:val="4B4B4B"/>
          <w:sz w:val="20"/>
          <w:szCs w:val="20"/>
        </w:rPr>
        <w:t>urban</w:t>
      </w:r>
      <w:proofErr w:type="spellEnd"/>
      <w:r w:rsidRPr="005F10CE">
        <w:rPr>
          <w:rFonts w:ascii="Arial" w:hAnsi="Arial" w:cs="Arial"/>
          <w:color w:val="4B4B4B"/>
          <w:sz w:val="20"/>
          <w:szCs w:val="20"/>
        </w:rPr>
        <w:t xml:space="preserve"> </w:t>
      </w:r>
      <w:proofErr w:type="spellStart"/>
      <w:r w:rsidRPr="005F10CE">
        <w:rPr>
          <w:rFonts w:ascii="Arial" w:hAnsi="Arial" w:cs="Arial"/>
          <w:color w:val="4B4B4B"/>
          <w:sz w:val="20"/>
          <w:szCs w:val="20"/>
        </w:rPr>
        <w:t>areas</w:t>
      </w:r>
      <w:proofErr w:type="spellEnd"/>
      <w:r w:rsidRPr="005F10CE">
        <w:rPr>
          <w:rFonts w:ascii="Arial" w:hAnsi="Arial" w:cs="Arial"/>
          <w:color w:val="4B4B4B"/>
          <w:sz w:val="20"/>
          <w:szCs w:val="20"/>
        </w:rPr>
        <w:br/>
        <w:t xml:space="preserve">• CIE TC 4.21-97 </w:t>
      </w:r>
      <w:proofErr w:type="spellStart"/>
      <w:r w:rsidRPr="005F10CE">
        <w:rPr>
          <w:rFonts w:ascii="Arial" w:hAnsi="Arial" w:cs="Arial"/>
          <w:color w:val="4B4B4B"/>
          <w:sz w:val="20"/>
          <w:szCs w:val="20"/>
        </w:rPr>
        <w:t>guidelines</w:t>
      </w:r>
      <w:proofErr w:type="spellEnd"/>
      <w:r w:rsidRPr="005F10CE">
        <w:rPr>
          <w:rFonts w:ascii="Arial" w:hAnsi="Arial" w:cs="Arial"/>
          <w:color w:val="4B4B4B"/>
          <w:sz w:val="20"/>
          <w:szCs w:val="20"/>
        </w:rPr>
        <w:t xml:space="preserve"> for min. </w:t>
      </w:r>
      <w:proofErr w:type="spellStart"/>
      <w:r w:rsidRPr="005F10CE">
        <w:rPr>
          <w:rFonts w:ascii="Arial" w:hAnsi="Arial" w:cs="Arial"/>
          <w:color w:val="4B4B4B"/>
          <w:sz w:val="20"/>
          <w:szCs w:val="20"/>
        </w:rPr>
        <w:t>sky</w:t>
      </w:r>
      <w:proofErr w:type="spellEnd"/>
      <w:r w:rsidRPr="005F10CE">
        <w:rPr>
          <w:rFonts w:ascii="Arial" w:hAnsi="Arial" w:cs="Arial"/>
          <w:color w:val="4B4B4B"/>
          <w:sz w:val="20"/>
          <w:szCs w:val="20"/>
        </w:rPr>
        <w:t xml:space="preserve"> </w:t>
      </w:r>
      <w:proofErr w:type="spellStart"/>
      <w:r w:rsidRPr="005F10CE">
        <w:rPr>
          <w:rFonts w:ascii="Arial" w:hAnsi="Arial" w:cs="Arial"/>
          <w:color w:val="4B4B4B"/>
          <w:sz w:val="20"/>
          <w:szCs w:val="20"/>
        </w:rPr>
        <w:t>glow</w:t>
      </w:r>
      <w:proofErr w:type="spellEnd"/>
      <w:r w:rsidRPr="005F10CE">
        <w:rPr>
          <w:rFonts w:ascii="Arial" w:hAnsi="Arial" w:cs="Arial"/>
          <w:color w:val="4B4B4B"/>
          <w:sz w:val="20"/>
          <w:szCs w:val="20"/>
        </w:rPr>
        <w:br/>
        <w:t xml:space="preserve">• CIE TC 5.12-95 guide on the </w:t>
      </w:r>
      <w:proofErr w:type="spellStart"/>
      <w:r w:rsidRPr="005F10CE">
        <w:rPr>
          <w:rFonts w:ascii="Arial" w:hAnsi="Arial" w:cs="Arial"/>
          <w:color w:val="4B4B4B"/>
          <w:sz w:val="20"/>
          <w:szCs w:val="20"/>
        </w:rPr>
        <w:t>limitation</w:t>
      </w:r>
      <w:proofErr w:type="spellEnd"/>
      <w:r w:rsidRPr="005F10CE">
        <w:rPr>
          <w:rFonts w:ascii="Arial" w:hAnsi="Arial" w:cs="Arial"/>
          <w:color w:val="4B4B4B"/>
          <w:sz w:val="20"/>
          <w:szCs w:val="20"/>
        </w:rPr>
        <w:t xml:space="preserve"> of </w:t>
      </w:r>
      <w:proofErr w:type="spellStart"/>
      <w:r w:rsidRPr="005F10CE">
        <w:rPr>
          <w:rFonts w:ascii="Arial" w:hAnsi="Arial" w:cs="Arial"/>
          <w:color w:val="4B4B4B"/>
          <w:sz w:val="20"/>
          <w:szCs w:val="20"/>
        </w:rPr>
        <w:t>effects</w:t>
      </w:r>
      <w:proofErr w:type="spellEnd"/>
      <w:r w:rsidRPr="005F10CE">
        <w:rPr>
          <w:rFonts w:ascii="Arial" w:hAnsi="Arial" w:cs="Arial"/>
          <w:color w:val="4B4B4B"/>
          <w:sz w:val="20"/>
          <w:szCs w:val="20"/>
        </w:rPr>
        <w:t>.</w:t>
      </w:r>
    </w:p>
    <w:p w:rsidR="005F10CE" w:rsidRPr="005F10CE" w:rsidRDefault="005F10CE" w:rsidP="005F10CE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20"/>
          <w:szCs w:val="20"/>
        </w:rPr>
      </w:pPr>
      <w:r w:rsidRPr="005F10CE">
        <w:rPr>
          <w:rFonts w:ascii="Arial" w:hAnsi="Arial" w:cs="Arial"/>
          <w:color w:val="4B4B4B"/>
          <w:sz w:val="20"/>
          <w:szCs w:val="20"/>
        </w:rPr>
        <w:br/>
      </w:r>
      <w:r w:rsidRPr="005F10CE">
        <w:rPr>
          <w:rStyle w:val="Enfasigrassetto"/>
          <w:rFonts w:eastAsiaTheme="majorEastAsia" w:cs="Arial"/>
          <w:color w:val="4B4B4B"/>
          <w:sz w:val="20"/>
          <w:szCs w:val="20"/>
          <w:bdr w:val="none" w:sz="0" w:space="0" w:color="auto" w:frame="1"/>
        </w:rPr>
        <w:t>Fattori considerati</w:t>
      </w:r>
    </w:p>
    <w:p w:rsidR="005F10CE" w:rsidRPr="005F10CE" w:rsidRDefault="005F10CE" w:rsidP="005F10CE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20"/>
          <w:szCs w:val="20"/>
        </w:rPr>
      </w:pPr>
      <w:r w:rsidRPr="005F10CE">
        <w:rPr>
          <w:rFonts w:ascii="Arial" w:hAnsi="Arial" w:cs="Arial"/>
          <w:color w:val="4B4B4B"/>
          <w:sz w:val="20"/>
          <w:szCs w:val="20"/>
        </w:rPr>
        <w:br/>
        <w:t>- luminanza notturna del cielo (risultante dalla riflessione della radiazione di luce artificiale, emessa verso l'alto o riflessa dalle superfici illuminate ad opera dei componenti dell'atmosfera);</w:t>
      </w:r>
      <w:r w:rsidRPr="005F10CE">
        <w:rPr>
          <w:rFonts w:ascii="Arial" w:hAnsi="Arial" w:cs="Arial"/>
          <w:color w:val="4B4B4B"/>
          <w:sz w:val="20"/>
          <w:szCs w:val="20"/>
        </w:rPr>
        <w:br/>
        <w:t>- flusso luminoso disperso (flusso non utilizzato);</w:t>
      </w:r>
      <w:r w:rsidRPr="005F10CE">
        <w:rPr>
          <w:rFonts w:ascii="Arial" w:hAnsi="Arial" w:cs="Arial"/>
          <w:color w:val="4B4B4B"/>
          <w:sz w:val="20"/>
          <w:szCs w:val="20"/>
        </w:rPr>
        <w:br/>
        <w:t>- zona (superficie territoriale su cui si intende limitare la dispersione di flusso luminoso).</w:t>
      </w:r>
    </w:p>
    <w:p w:rsidR="005F10CE" w:rsidRPr="005F10CE" w:rsidRDefault="005F10CE" w:rsidP="005F10CE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20"/>
          <w:szCs w:val="20"/>
        </w:rPr>
      </w:pPr>
      <w:r w:rsidRPr="005F10CE">
        <w:rPr>
          <w:rFonts w:ascii="Arial" w:hAnsi="Arial" w:cs="Arial"/>
          <w:color w:val="4B4B4B"/>
          <w:sz w:val="20"/>
          <w:szCs w:val="20"/>
        </w:rPr>
        <w:br/>
        <w:t>Lo scopo della UNI 10819 è quello di proteggere gli osservatori astronomici professionali e non professionali, vietando o limitando l'uso di illuminazione, in un'area di 25 km di raggio per i primi, e di 10 km per i secondi. Per gli osservatori professionali, entro il raggio di un chilometro, sono vietati fasci luminosi fissi o rotanti, che diano qualsiasi emissione verso l'alto o che possano essere riflessi verso il cielo. Pertanto l'esistente apparecchio dovrà essere sostituito o schermato ed essere orientato almeno 90 gradi dall'osservatorio.</w:t>
      </w:r>
    </w:p>
    <w:p w:rsidR="005F10CE" w:rsidRPr="005F10CE" w:rsidRDefault="005F10CE" w:rsidP="005F10CE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20"/>
          <w:szCs w:val="20"/>
        </w:rPr>
      </w:pPr>
      <w:r w:rsidRPr="005F10CE">
        <w:rPr>
          <w:rFonts w:ascii="Arial" w:hAnsi="Arial" w:cs="Arial"/>
          <w:color w:val="4B4B4B"/>
          <w:sz w:val="20"/>
          <w:szCs w:val="20"/>
        </w:rPr>
        <w:br/>
      </w:r>
      <w:r w:rsidRPr="005F10CE">
        <w:rPr>
          <w:rStyle w:val="Enfasigrassetto"/>
          <w:rFonts w:eastAsiaTheme="majorEastAsia" w:cs="Arial"/>
          <w:color w:val="4B4B4B"/>
          <w:sz w:val="20"/>
          <w:szCs w:val="20"/>
          <w:bdr w:val="none" w:sz="0" w:space="0" w:color="auto" w:frame="1"/>
        </w:rPr>
        <w:t>Classificazione degli impianti</w:t>
      </w:r>
    </w:p>
    <w:p w:rsidR="005F10CE" w:rsidRPr="005F10CE" w:rsidRDefault="005F10CE" w:rsidP="005F10CE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20"/>
          <w:szCs w:val="20"/>
        </w:rPr>
      </w:pPr>
      <w:r w:rsidRPr="005F10CE">
        <w:rPr>
          <w:rFonts w:ascii="Arial" w:hAnsi="Arial" w:cs="Arial"/>
          <w:color w:val="4B4B4B"/>
          <w:sz w:val="20"/>
          <w:szCs w:val="20"/>
        </w:rPr>
        <w:br/>
      </w:r>
      <w:r w:rsidRPr="005F10CE">
        <w:rPr>
          <w:rStyle w:val="Enfasigrassetto"/>
          <w:rFonts w:eastAsiaTheme="majorEastAsia" w:cs="Arial"/>
          <w:color w:val="4B4B4B"/>
          <w:sz w:val="20"/>
          <w:szCs w:val="20"/>
          <w:bdr w:val="none" w:sz="0" w:space="0" w:color="auto" w:frame="1"/>
        </w:rPr>
        <w:t>Tipo A</w:t>
      </w:r>
      <w:r w:rsidRPr="005F10CE">
        <w:rPr>
          <w:rFonts w:ascii="Arial" w:hAnsi="Arial" w:cs="Arial"/>
          <w:color w:val="4B4B4B"/>
          <w:sz w:val="20"/>
          <w:szCs w:val="20"/>
        </w:rPr>
        <w:t>: Impianti dove la sicurezza è a carattere prioritario, per esempio illuminazione pubblica di strade, aree verdi, ecc.</w:t>
      </w:r>
      <w:r w:rsidRPr="005F10CE">
        <w:rPr>
          <w:rFonts w:ascii="Arial" w:hAnsi="Arial" w:cs="Arial"/>
          <w:color w:val="4B4B4B"/>
          <w:sz w:val="20"/>
          <w:szCs w:val="20"/>
        </w:rPr>
        <w:br/>
      </w:r>
      <w:r w:rsidRPr="005F10CE">
        <w:rPr>
          <w:rStyle w:val="Enfasigrassetto"/>
          <w:rFonts w:eastAsiaTheme="majorEastAsia" w:cs="Arial"/>
          <w:color w:val="4B4B4B"/>
          <w:sz w:val="20"/>
          <w:szCs w:val="20"/>
          <w:bdr w:val="none" w:sz="0" w:space="0" w:color="auto" w:frame="1"/>
        </w:rPr>
        <w:t>Tipo B</w:t>
      </w:r>
      <w:r w:rsidRPr="005F10CE">
        <w:rPr>
          <w:rFonts w:ascii="Arial" w:hAnsi="Arial" w:cs="Arial"/>
          <w:color w:val="4B4B4B"/>
          <w:sz w:val="20"/>
          <w:szCs w:val="20"/>
        </w:rPr>
        <w:t>: Impianti sportivi, impianti di centri commerciali e ricreativi, impianti di giardini.</w:t>
      </w:r>
      <w:r w:rsidRPr="005F10CE">
        <w:rPr>
          <w:rFonts w:ascii="Arial" w:hAnsi="Arial" w:cs="Arial"/>
          <w:color w:val="4B4B4B"/>
          <w:sz w:val="20"/>
          <w:szCs w:val="20"/>
        </w:rPr>
        <w:br/>
      </w:r>
      <w:r w:rsidRPr="005F10CE">
        <w:rPr>
          <w:rStyle w:val="Enfasigrassetto"/>
          <w:rFonts w:eastAsiaTheme="majorEastAsia" w:cs="Arial"/>
          <w:color w:val="4B4B4B"/>
          <w:sz w:val="20"/>
          <w:szCs w:val="20"/>
          <w:bdr w:val="none" w:sz="0" w:space="0" w:color="auto" w:frame="1"/>
        </w:rPr>
        <w:t>Tipo C</w:t>
      </w:r>
      <w:r w:rsidRPr="005F10CE">
        <w:rPr>
          <w:rFonts w:ascii="Arial" w:hAnsi="Arial" w:cs="Arial"/>
          <w:color w:val="4B4B4B"/>
          <w:sz w:val="20"/>
          <w:szCs w:val="20"/>
        </w:rPr>
        <w:t>: Impianti di interesse ambientale.</w:t>
      </w:r>
      <w:r w:rsidRPr="005F10CE">
        <w:rPr>
          <w:rFonts w:ascii="Arial" w:hAnsi="Arial" w:cs="Arial"/>
          <w:color w:val="4B4B4B"/>
          <w:sz w:val="20"/>
          <w:szCs w:val="20"/>
        </w:rPr>
        <w:br/>
      </w:r>
      <w:r w:rsidRPr="005F10CE">
        <w:rPr>
          <w:rStyle w:val="Enfasigrassetto"/>
          <w:rFonts w:eastAsiaTheme="majorEastAsia" w:cs="Arial"/>
          <w:color w:val="4B4B4B"/>
          <w:sz w:val="20"/>
          <w:szCs w:val="20"/>
          <w:bdr w:val="none" w:sz="0" w:space="0" w:color="auto" w:frame="1"/>
        </w:rPr>
        <w:t>Tipo D</w:t>
      </w:r>
      <w:r w:rsidRPr="005F10CE">
        <w:rPr>
          <w:rFonts w:ascii="Arial" w:hAnsi="Arial" w:cs="Arial"/>
          <w:color w:val="4B4B4B"/>
          <w:sz w:val="20"/>
          <w:szCs w:val="20"/>
        </w:rPr>
        <w:t>: Impianti pubblicitari.</w:t>
      </w:r>
      <w:r w:rsidRPr="005F10CE">
        <w:rPr>
          <w:rFonts w:ascii="Arial" w:hAnsi="Arial" w:cs="Arial"/>
          <w:color w:val="4B4B4B"/>
          <w:sz w:val="20"/>
          <w:szCs w:val="20"/>
        </w:rPr>
        <w:br/>
      </w:r>
      <w:r w:rsidRPr="005F10CE">
        <w:rPr>
          <w:rStyle w:val="Enfasigrassetto"/>
          <w:rFonts w:eastAsiaTheme="majorEastAsia" w:cs="Arial"/>
          <w:color w:val="4B4B4B"/>
          <w:sz w:val="20"/>
          <w:szCs w:val="20"/>
          <w:bdr w:val="none" w:sz="0" w:space="0" w:color="auto" w:frame="1"/>
        </w:rPr>
        <w:t>Tipo E</w:t>
      </w:r>
      <w:r w:rsidRPr="005F10CE">
        <w:rPr>
          <w:rFonts w:ascii="Arial" w:hAnsi="Arial" w:cs="Arial"/>
          <w:color w:val="4B4B4B"/>
          <w:sz w:val="20"/>
          <w:szCs w:val="20"/>
        </w:rPr>
        <w:t>: Impianti a carattere temporaneo ornamentale (luci natalizie).</w:t>
      </w:r>
    </w:p>
    <w:p w:rsidR="005F10CE" w:rsidRPr="005F10CE" w:rsidRDefault="005F10CE" w:rsidP="005F10CE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20"/>
          <w:szCs w:val="20"/>
        </w:rPr>
      </w:pPr>
      <w:r w:rsidRPr="005F10CE">
        <w:rPr>
          <w:rFonts w:ascii="Arial" w:hAnsi="Arial" w:cs="Arial"/>
          <w:color w:val="4B4B4B"/>
          <w:sz w:val="20"/>
          <w:szCs w:val="20"/>
        </w:rPr>
        <w:br/>
      </w:r>
      <w:r w:rsidRPr="005F10CE">
        <w:rPr>
          <w:rStyle w:val="Enfasigrassetto"/>
          <w:rFonts w:eastAsiaTheme="majorEastAsia" w:cs="Arial"/>
          <w:color w:val="4B4B4B"/>
          <w:sz w:val="20"/>
          <w:szCs w:val="20"/>
          <w:bdr w:val="none" w:sz="0" w:space="0" w:color="auto" w:frame="1"/>
        </w:rPr>
        <w:t>Classificazione delle zone di installazione</w:t>
      </w:r>
    </w:p>
    <w:p w:rsidR="005F10CE" w:rsidRPr="005F10CE" w:rsidRDefault="005F10CE" w:rsidP="005F10CE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20"/>
          <w:szCs w:val="20"/>
        </w:rPr>
      </w:pPr>
      <w:r w:rsidRPr="005F10CE">
        <w:rPr>
          <w:rFonts w:ascii="Arial" w:hAnsi="Arial" w:cs="Arial"/>
          <w:color w:val="4B4B4B"/>
          <w:sz w:val="20"/>
          <w:szCs w:val="20"/>
        </w:rPr>
        <w:br/>
      </w:r>
      <w:r w:rsidRPr="005F10CE">
        <w:rPr>
          <w:rStyle w:val="Enfasigrassetto"/>
          <w:rFonts w:eastAsiaTheme="majorEastAsia" w:cs="Arial"/>
          <w:color w:val="4B4B4B"/>
          <w:sz w:val="20"/>
          <w:szCs w:val="20"/>
          <w:bdr w:val="none" w:sz="0" w:space="0" w:color="auto" w:frame="1"/>
        </w:rPr>
        <w:t>Zona 1</w:t>
      </w:r>
      <w:r w:rsidRPr="005F10CE">
        <w:rPr>
          <w:rFonts w:ascii="Arial" w:hAnsi="Arial" w:cs="Arial"/>
          <w:color w:val="4B4B4B"/>
          <w:sz w:val="20"/>
          <w:szCs w:val="20"/>
        </w:rPr>
        <w:t>: zona altamente protetta, ad illuminazione limitata (per esempio, osservatori astronomici). Raggio dal centro di osservazione R= 5Km.</w:t>
      </w:r>
      <w:r w:rsidRPr="005F10CE">
        <w:rPr>
          <w:rFonts w:ascii="Arial" w:hAnsi="Arial" w:cs="Arial"/>
          <w:color w:val="4B4B4B"/>
          <w:sz w:val="20"/>
          <w:szCs w:val="20"/>
        </w:rPr>
        <w:br/>
      </w:r>
      <w:r w:rsidRPr="005F10CE">
        <w:rPr>
          <w:rStyle w:val="Enfasigrassetto"/>
          <w:rFonts w:eastAsiaTheme="majorEastAsia" w:cs="Arial"/>
          <w:color w:val="4B4B4B"/>
          <w:sz w:val="20"/>
          <w:szCs w:val="20"/>
          <w:bdr w:val="none" w:sz="0" w:space="0" w:color="auto" w:frame="1"/>
        </w:rPr>
        <w:t>Zona 2</w:t>
      </w:r>
      <w:r w:rsidRPr="005F10CE">
        <w:rPr>
          <w:rFonts w:ascii="Arial" w:hAnsi="Arial" w:cs="Arial"/>
          <w:color w:val="4B4B4B"/>
          <w:sz w:val="20"/>
          <w:szCs w:val="20"/>
        </w:rPr>
        <w:t>: zona protetta intorno alla zona 1 o intorno ad osservatori a carattere nazionale. Raggio dal centro di osservazione R=5/10/15Km in funzione dell'importanza del centro.</w:t>
      </w:r>
      <w:r w:rsidRPr="005F10CE">
        <w:rPr>
          <w:rFonts w:ascii="Arial" w:hAnsi="Arial" w:cs="Arial"/>
          <w:color w:val="4B4B4B"/>
          <w:sz w:val="20"/>
          <w:szCs w:val="20"/>
        </w:rPr>
        <w:br/>
      </w:r>
      <w:r w:rsidRPr="005F10CE">
        <w:rPr>
          <w:rStyle w:val="Enfasigrassetto"/>
          <w:rFonts w:eastAsiaTheme="majorEastAsia" w:cs="Arial"/>
          <w:color w:val="4B4B4B"/>
          <w:sz w:val="20"/>
          <w:szCs w:val="20"/>
          <w:bdr w:val="none" w:sz="0" w:space="0" w:color="auto" w:frame="1"/>
        </w:rPr>
        <w:t>Zona 3</w:t>
      </w:r>
      <w:r w:rsidRPr="005F10CE">
        <w:rPr>
          <w:rFonts w:ascii="Arial" w:hAnsi="Arial" w:cs="Arial"/>
          <w:color w:val="4B4B4B"/>
          <w:sz w:val="20"/>
          <w:szCs w:val="20"/>
        </w:rPr>
        <w:t>: territorio nazionale non classificato nelle zone ½. </w:t>
      </w:r>
      <w:r w:rsidRPr="005F10CE">
        <w:rPr>
          <w:rFonts w:ascii="Arial" w:hAnsi="Arial" w:cs="Arial"/>
          <w:color w:val="4B4B4B"/>
          <w:sz w:val="20"/>
          <w:szCs w:val="20"/>
        </w:rPr>
        <w:br/>
      </w:r>
      <w:r w:rsidRPr="005F10CE">
        <w:rPr>
          <w:rFonts w:ascii="Arial" w:hAnsi="Arial" w:cs="Arial"/>
          <w:color w:val="4B4B4B"/>
          <w:sz w:val="20"/>
          <w:szCs w:val="20"/>
        </w:rPr>
        <w:lastRenderedPageBreak/>
        <w:t>Sulla base della distanza dai centri di osservazione ufficialmente riconosciuti, il territorio comunale è classificato idealmente in una delle zone sopra indicate, qualora lo stesso territorio fosse suddiviso in più parti dai cerchi di influenza, a ciascuna parte deve essere assegnata la rispettiva zona di appartenenza o la zona maggiormente protetta è estesa a tutto il territorio comunale.</w:t>
      </w:r>
    </w:p>
    <w:p w:rsidR="005F10CE" w:rsidRDefault="005F10CE"/>
    <w:p w:rsidR="005D5733" w:rsidRDefault="005D5733"/>
    <w:p w:rsidR="005D5733" w:rsidRDefault="005D5733" w:rsidP="005D5733">
      <w:pPr>
        <w:pStyle w:val="Titolo3"/>
      </w:pPr>
      <w:r>
        <w:t>Leggi regionali</w:t>
      </w:r>
    </w:p>
    <w:tbl>
      <w:tblPr>
        <w:tblW w:w="88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8844"/>
      </w:tblGrid>
      <w:tr w:rsidR="005D5733" w:rsidTr="005D573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733" w:rsidRDefault="005D5733" w:rsidP="005D5733">
            <w:pPr>
              <w:pStyle w:val="Titolo4"/>
            </w:pPr>
            <w:r>
              <w:t>Toscana</w:t>
            </w:r>
          </w:p>
        </w:tc>
      </w:tr>
      <w:tr w:rsidR="005D5733" w:rsidTr="005D573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5733" w:rsidRDefault="005D5733" w:rsidP="00A37549">
            <w:pPr>
              <w:rPr>
                <w:rFonts w:ascii="Lucida Sans Unicode" w:hAnsi="Lucida Sans Unicode" w:cs="Lucida Sans Unicode"/>
                <w:color w:val="4B4B4B"/>
                <w:sz w:val="26"/>
                <w:szCs w:val="26"/>
              </w:rPr>
            </w:pPr>
          </w:p>
        </w:tc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5733" w:rsidRDefault="005D5733" w:rsidP="00A37549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4B4B4B"/>
                <w:sz w:val="18"/>
                <w:szCs w:val="18"/>
              </w:rPr>
            </w:pPr>
            <w:r>
              <w:rPr>
                <w:rStyle w:val="Enfasigrassetto"/>
                <w:rFonts w:ascii="Arial" w:hAnsi="Arial" w:cs="Arial"/>
                <w:color w:val="4B4B4B"/>
                <w:sz w:val="18"/>
                <w:szCs w:val="18"/>
                <w:bdr w:val="none" w:sz="0" w:space="0" w:color="auto" w:frame="1"/>
              </w:rPr>
              <w:t>Legge regionale della Toscana n° 37/00</w:t>
            </w:r>
          </w:p>
          <w:p w:rsidR="005D5733" w:rsidRDefault="005D5733" w:rsidP="00A37549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4B4B4B"/>
                <w:sz w:val="18"/>
                <w:szCs w:val="18"/>
              </w:rPr>
            </w:pPr>
            <w:r>
              <w:rPr>
                <w:rFonts w:ascii="Arial" w:hAnsi="Arial" w:cs="Arial"/>
                <w:color w:val="4B4B4B"/>
                <w:sz w:val="18"/>
                <w:szCs w:val="18"/>
              </w:rPr>
              <w:t> </w:t>
            </w:r>
          </w:p>
          <w:p w:rsidR="005D5733" w:rsidRDefault="005D5733" w:rsidP="00A37549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4B4B4B"/>
                <w:sz w:val="18"/>
                <w:szCs w:val="18"/>
              </w:rPr>
            </w:pPr>
            <w:r>
              <w:rPr>
                <w:rStyle w:val="Enfasigrassetto"/>
                <w:rFonts w:ascii="Arial" w:hAnsi="Arial" w:cs="Arial"/>
                <w:color w:val="4B4B4B"/>
                <w:sz w:val="18"/>
                <w:szCs w:val="18"/>
                <w:bdr w:val="none" w:sz="0" w:space="0" w:color="auto" w:frame="1"/>
              </w:rPr>
              <w:t>Limiti generali</w:t>
            </w:r>
          </w:p>
          <w:p w:rsidR="005D5733" w:rsidRDefault="005D5733" w:rsidP="00A37549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4B4B4B"/>
                <w:sz w:val="18"/>
                <w:szCs w:val="18"/>
              </w:rPr>
            </w:pPr>
            <w:r>
              <w:rPr>
                <w:rFonts w:ascii="Arial" w:hAnsi="Arial" w:cs="Arial"/>
                <w:color w:val="4B4B4B"/>
                <w:sz w:val="18"/>
                <w:szCs w:val="18"/>
              </w:rPr>
              <w:br/>
              <w:t>• Illuminazione dall'alto verso il basso e non oltre i 60° dalla verticale.</w:t>
            </w:r>
            <w:r>
              <w:rPr>
                <w:rFonts w:ascii="Arial" w:hAnsi="Arial" w:cs="Arial"/>
                <w:color w:val="4B4B4B"/>
                <w:sz w:val="18"/>
                <w:szCs w:val="18"/>
              </w:rPr>
              <w:br/>
              <w:t>• Riduzione del flusso fino al 50% dopo le ore 22:00.</w:t>
            </w:r>
            <w:r>
              <w:rPr>
                <w:rFonts w:ascii="Arial" w:hAnsi="Arial" w:cs="Arial"/>
                <w:color w:val="4B4B4B"/>
                <w:sz w:val="18"/>
                <w:szCs w:val="18"/>
              </w:rPr>
              <w:br/>
              <w:t>• Flusso luminoso emesso nell'emisfero superiore &lt; 3% del flusso totale emesso dalla sorgente.</w:t>
            </w:r>
            <w:r>
              <w:rPr>
                <w:rFonts w:ascii="Arial" w:hAnsi="Arial" w:cs="Arial"/>
                <w:color w:val="4B4B4B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4B4B4B"/>
                <w:sz w:val="18"/>
                <w:szCs w:val="18"/>
              </w:rPr>
              <w:br/>
            </w:r>
            <w:r>
              <w:rPr>
                <w:rStyle w:val="Enfasigrassetto"/>
                <w:rFonts w:ascii="Arial" w:hAnsi="Arial" w:cs="Arial"/>
                <w:color w:val="4B4B4B"/>
                <w:sz w:val="18"/>
                <w:szCs w:val="18"/>
                <w:bdr w:val="none" w:sz="0" w:space="0" w:color="auto" w:frame="1"/>
              </w:rPr>
              <w:t>Zone</w:t>
            </w:r>
          </w:p>
          <w:p w:rsidR="005D5733" w:rsidRDefault="005D5733" w:rsidP="00A37549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4B4B4B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4B4B4B"/>
                <w:sz w:val="18"/>
                <w:szCs w:val="18"/>
                <w:bdr w:val="none" w:sz="0" w:space="0" w:color="auto" w:frame="1"/>
              </w:rPr>
              <w:br/>
            </w:r>
            <w:r>
              <w:rPr>
                <w:rStyle w:val="Enfasigrassetto"/>
                <w:rFonts w:ascii="Arial" w:hAnsi="Arial" w:cs="Arial"/>
                <w:color w:val="4B4B4B"/>
                <w:sz w:val="18"/>
                <w:szCs w:val="18"/>
                <w:bdr w:val="none" w:sz="0" w:space="0" w:color="auto" w:frame="1"/>
              </w:rPr>
              <w:t>Zona 1</w:t>
            </w:r>
            <w:r>
              <w:rPr>
                <w:rFonts w:ascii="Arial" w:hAnsi="Arial" w:cs="Arial"/>
                <w:color w:val="4B4B4B"/>
                <w:sz w:val="18"/>
                <w:szCs w:val="18"/>
              </w:rPr>
              <w:t> entro 1 Km dagli osservatori divieto assoluto di sorgenti luminose emettenti verso l'alto.</w:t>
            </w:r>
          </w:p>
          <w:p w:rsidR="005D5733" w:rsidRDefault="005D5733" w:rsidP="00A37549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4B4B4B"/>
                <w:sz w:val="18"/>
                <w:szCs w:val="18"/>
              </w:rPr>
            </w:pPr>
            <w:r>
              <w:rPr>
                <w:rStyle w:val="Enfasigrassetto"/>
                <w:rFonts w:ascii="Arial" w:hAnsi="Arial" w:cs="Arial"/>
                <w:color w:val="4B4B4B"/>
                <w:sz w:val="18"/>
                <w:szCs w:val="18"/>
                <w:bdr w:val="none" w:sz="0" w:space="0" w:color="auto" w:frame="1"/>
              </w:rPr>
              <w:t>Zona 2</w:t>
            </w:r>
            <w:r>
              <w:rPr>
                <w:rFonts w:ascii="Arial" w:hAnsi="Arial" w:cs="Arial"/>
                <w:color w:val="4B4B4B"/>
                <w:sz w:val="18"/>
                <w:szCs w:val="18"/>
              </w:rPr>
              <w:t> nella fascia compresa tra il raggio di 1 km ed il raggio di 50Km dal centro di osservazione astronomica gli impianti di illuminazione devono emettere verso l'emisfero superiore una percentuale di flusso luminoso rispetto al totale emesso 3% del flusso totale emesso della sorgente. I fasci di luce devono essere orientati ad almeno 90° rispetto alla direzione in cui si trovano i telescopi.</w:t>
            </w:r>
          </w:p>
          <w:p w:rsidR="005D5733" w:rsidRDefault="005D5733" w:rsidP="00A37549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4B4B4B"/>
                <w:sz w:val="18"/>
                <w:szCs w:val="18"/>
              </w:rPr>
            </w:pPr>
            <w:r>
              <w:rPr>
                <w:rStyle w:val="Enfasigrassetto"/>
                <w:rFonts w:ascii="Arial" w:hAnsi="Arial" w:cs="Arial"/>
                <w:color w:val="4B4B4B"/>
                <w:sz w:val="18"/>
                <w:szCs w:val="18"/>
                <w:bdr w:val="none" w:sz="0" w:space="0" w:color="auto" w:frame="1"/>
              </w:rPr>
              <w:t>Zona 3</w:t>
            </w:r>
            <w:r>
              <w:rPr>
                <w:rFonts w:ascii="Arial" w:hAnsi="Arial" w:cs="Arial"/>
                <w:color w:val="4B4B4B"/>
                <w:sz w:val="18"/>
                <w:szCs w:val="18"/>
              </w:rPr>
              <w:t> oltre i 50 Km dal centro di osservazione astronomica gli impianti di illuminazione devono emettere verso l'emisfero superiore una percentuale di flusso luminoso rispetto al totale emesso ≤ 3% del flusso totale emesso della sorgente.</w:t>
            </w:r>
            <w:r>
              <w:rPr>
                <w:rFonts w:ascii="Arial" w:hAnsi="Arial" w:cs="Arial"/>
                <w:color w:val="4B4B4B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4B4B4B"/>
                <w:sz w:val="18"/>
                <w:szCs w:val="18"/>
              </w:rPr>
              <w:br/>
            </w:r>
            <w:r>
              <w:rPr>
                <w:rStyle w:val="Enfasigrassetto"/>
                <w:rFonts w:ascii="Arial" w:hAnsi="Arial" w:cs="Arial"/>
                <w:color w:val="4B4B4B"/>
                <w:sz w:val="18"/>
                <w:szCs w:val="18"/>
                <w:bdr w:val="none" w:sz="0" w:space="0" w:color="auto" w:frame="1"/>
              </w:rPr>
              <w:t>Deroghe</w:t>
            </w:r>
            <w:r>
              <w:rPr>
                <w:rFonts w:ascii="Arial" w:hAnsi="Arial" w:cs="Arial"/>
                <w:b/>
                <w:bCs/>
                <w:color w:val="4B4B4B"/>
                <w:sz w:val="18"/>
                <w:szCs w:val="18"/>
                <w:bdr w:val="none" w:sz="0" w:space="0" w:color="auto" w:frame="1"/>
              </w:rPr>
              <w:br/>
            </w:r>
            <w:r>
              <w:rPr>
                <w:rFonts w:ascii="Arial" w:hAnsi="Arial" w:cs="Arial"/>
                <w:color w:val="4B4B4B"/>
                <w:sz w:val="18"/>
                <w:szCs w:val="18"/>
              </w:rPr>
              <w:t>Impianti privati con numero di punti luce 10 che rispettano la seguente condizione: ciascuna sorgente deve avere un flusso luminoso ≤ a 1500 lm.</w:t>
            </w:r>
          </w:p>
        </w:tc>
      </w:tr>
    </w:tbl>
    <w:p w:rsidR="005D5733" w:rsidRDefault="005D5733" w:rsidP="00A37549"/>
    <w:p w:rsidR="005D5733" w:rsidRDefault="005D5733" w:rsidP="00A37549">
      <w:pPr>
        <w:pStyle w:val="Titolo4"/>
      </w:pPr>
      <w:r>
        <w:t>Piemonte</w:t>
      </w:r>
    </w:p>
    <w:tbl>
      <w:tblPr>
        <w:tblW w:w="88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8844"/>
      </w:tblGrid>
      <w:tr w:rsidR="005D5733" w:rsidTr="005D573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733" w:rsidRDefault="005D5733" w:rsidP="00A37549">
            <w:pPr>
              <w:pStyle w:val="Titolo3"/>
              <w:spacing w:before="0" w:after="150"/>
              <w:rPr>
                <w:rFonts w:ascii="Lucida Sans Unicode" w:hAnsi="Lucida Sans Unicode" w:cs="Lucida Sans Unicode"/>
                <w:color w:val="4B4B4B"/>
                <w:sz w:val="26"/>
                <w:szCs w:val="26"/>
              </w:rPr>
            </w:pPr>
            <w:r>
              <w:rPr>
                <w:rFonts w:ascii="Lucida Sans Unicode" w:hAnsi="Lucida Sans Unicode" w:cs="Lucida Sans Unicode"/>
                <w:color w:val="4B4B4B"/>
                <w:sz w:val="26"/>
                <w:szCs w:val="26"/>
              </w:rPr>
              <w:t>Consigli per l'interpretazione della legge regionale del Piemonte</w:t>
            </w:r>
          </w:p>
        </w:tc>
      </w:tr>
      <w:tr w:rsidR="005D5733" w:rsidTr="005D573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5733" w:rsidRDefault="005D5733" w:rsidP="00A37549">
            <w:pPr>
              <w:rPr>
                <w:rFonts w:ascii="Lucida Sans Unicode" w:hAnsi="Lucida Sans Unicode" w:cs="Lucida Sans Unicode"/>
                <w:color w:val="4B4B4B"/>
                <w:sz w:val="26"/>
                <w:szCs w:val="26"/>
              </w:rPr>
            </w:pPr>
          </w:p>
        </w:tc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5733" w:rsidRDefault="005D5733" w:rsidP="00A37549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4B4B4B"/>
                <w:sz w:val="18"/>
                <w:szCs w:val="18"/>
              </w:rPr>
            </w:pPr>
            <w:r>
              <w:rPr>
                <w:rStyle w:val="Enfasigrassetto"/>
                <w:rFonts w:ascii="Arial" w:hAnsi="Arial" w:cs="Arial"/>
                <w:color w:val="4B4B4B"/>
                <w:sz w:val="18"/>
                <w:szCs w:val="18"/>
                <w:bdr w:val="none" w:sz="0" w:space="0" w:color="auto" w:frame="1"/>
              </w:rPr>
              <w:t>La legge regionale del Piemonte n° 31/00</w:t>
            </w:r>
            <w:r>
              <w:rPr>
                <w:rFonts w:ascii="Arial" w:hAnsi="Arial" w:cs="Arial"/>
                <w:color w:val="4B4B4B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4B4B4B"/>
                <w:sz w:val="18"/>
                <w:szCs w:val="18"/>
              </w:rPr>
              <w:br/>
            </w:r>
            <w:r>
              <w:rPr>
                <w:rStyle w:val="Enfasigrassetto"/>
                <w:rFonts w:ascii="Arial" w:hAnsi="Arial" w:cs="Arial"/>
                <w:color w:val="4B4B4B"/>
                <w:sz w:val="18"/>
                <w:szCs w:val="18"/>
                <w:bdr w:val="none" w:sz="0" w:space="0" w:color="auto" w:frame="1"/>
              </w:rPr>
              <w:t>Zone</w:t>
            </w:r>
          </w:p>
          <w:p w:rsidR="005D5733" w:rsidRDefault="005D5733" w:rsidP="00A37549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4B4B4B"/>
                <w:sz w:val="18"/>
                <w:szCs w:val="18"/>
              </w:rPr>
            </w:pPr>
            <w:r>
              <w:rPr>
                <w:rFonts w:ascii="Arial" w:hAnsi="Arial" w:cs="Arial"/>
                <w:color w:val="4B4B4B"/>
                <w:sz w:val="18"/>
                <w:szCs w:val="18"/>
              </w:rPr>
              <w:br/>
            </w:r>
            <w:r>
              <w:rPr>
                <w:rStyle w:val="Enfasigrassetto"/>
                <w:rFonts w:ascii="Arial" w:hAnsi="Arial" w:cs="Arial"/>
                <w:color w:val="4B4B4B"/>
                <w:sz w:val="18"/>
                <w:szCs w:val="18"/>
                <w:bdr w:val="none" w:sz="0" w:space="0" w:color="auto" w:frame="1"/>
              </w:rPr>
              <w:t>Zona 1</w:t>
            </w:r>
            <w:r>
              <w:rPr>
                <w:rFonts w:ascii="Arial" w:hAnsi="Arial" w:cs="Arial"/>
                <w:color w:val="4B4B4B"/>
                <w:sz w:val="18"/>
                <w:szCs w:val="18"/>
              </w:rPr>
              <w:t> entro un raggio di 5Km dal centro di osservazione astronomica gli impianti di illuminazione devono emettere verso l'emisfero superiore una percentuale di flusso rispetto al totale emesso 1%. Entro un raggio di 5Km dal centro di osservazione astronomica non sono ammessi gli impianti a carattere temporaneo ed ornamentale.</w:t>
            </w:r>
          </w:p>
          <w:p w:rsidR="005D5733" w:rsidRDefault="005D5733" w:rsidP="00A37549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4B4B4B"/>
                <w:sz w:val="18"/>
                <w:szCs w:val="18"/>
              </w:rPr>
            </w:pPr>
            <w:r>
              <w:rPr>
                <w:rStyle w:val="Enfasigrassetto"/>
                <w:rFonts w:ascii="Arial" w:hAnsi="Arial" w:cs="Arial"/>
                <w:color w:val="4B4B4B"/>
                <w:sz w:val="18"/>
                <w:szCs w:val="18"/>
                <w:bdr w:val="none" w:sz="0" w:space="0" w:color="auto" w:frame="1"/>
              </w:rPr>
              <w:t>Zona 2</w:t>
            </w:r>
            <w:r>
              <w:rPr>
                <w:rFonts w:ascii="Arial" w:hAnsi="Arial" w:cs="Arial"/>
                <w:color w:val="4B4B4B"/>
                <w:sz w:val="18"/>
                <w:szCs w:val="18"/>
              </w:rPr>
              <w:t> Entro raggi di 10, 15, 25Km dal centro di osservazione astronomica gli impianti di illuminazione devono emettere verso l'emisfero superiore una percentuale di flusso rispetto al totale emesso 5%. Entro raggi di 10, 15, 25 Km dal centro di osservazione astronomica sono ammessi gli impianti a carattere temporaneo ed ornamentale ma soggetti ad orario regolamentato.</w:t>
            </w:r>
          </w:p>
          <w:p w:rsidR="005D5733" w:rsidRDefault="005D5733" w:rsidP="00A37549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4B4B4B"/>
                <w:sz w:val="18"/>
                <w:szCs w:val="18"/>
              </w:rPr>
            </w:pPr>
            <w:r>
              <w:rPr>
                <w:rStyle w:val="Enfasigrassetto"/>
                <w:rFonts w:ascii="Arial" w:hAnsi="Arial" w:cs="Arial"/>
                <w:color w:val="4B4B4B"/>
                <w:sz w:val="18"/>
                <w:szCs w:val="18"/>
                <w:bdr w:val="none" w:sz="0" w:space="0" w:color="auto" w:frame="1"/>
              </w:rPr>
              <w:t>Zona 3</w:t>
            </w:r>
            <w:r>
              <w:rPr>
                <w:rFonts w:ascii="Arial" w:hAnsi="Arial" w:cs="Arial"/>
                <w:color w:val="4B4B4B"/>
                <w:sz w:val="18"/>
                <w:szCs w:val="18"/>
              </w:rPr>
              <w:t> oltre i 25 Km dal centro di osservazione astronomica gli impianti di illuminazione devono emettere verso l'emisfero superiore una percentuale di flusso rispetto al totale emesso 10%.</w:t>
            </w:r>
            <w:r>
              <w:rPr>
                <w:rFonts w:ascii="Arial" w:hAnsi="Arial" w:cs="Arial"/>
                <w:color w:val="4B4B4B"/>
                <w:sz w:val="18"/>
                <w:szCs w:val="18"/>
              </w:rPr>
              <w:br/>
              <w:t>Oltre i 25 Km dal centro di osservazione astronomica sono ammessi gli impianti a carattere temporaneo ed ornamentale.</w:t>
            </w:r>
            <w:r>
              <w:rPr>
                <w:rFonts w:ascii="Arial" w:hAnsi="Arial" w:cs="Arial"/>
                <w:color w:val="4B4B4B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4B4B4B"/>
                <w:sz w:val="18"/>
                <w:szCs w:val="18"/>
              </w:rPr>
              <w:br/>
            </w:r>
            <w:r>
              <w:rPr>
                <w:rStyle w:val="Enfasigrassetto"/>
                <w:rFonts w:ascii="Arial" w:hAnsi="Arial" w:cs="Arial"/>
                <w:color w:val="4B4B4B"/>
                <w:sz w:val="18"/>
                <w:szCs w:val="18"/>
                <w:bdr w:val="none" w:sz="0" w:space="0" w:color="auto" w:frame="1"/>
              </w:rPr>
              <w:t>Deroghe</w:t>
            </w:r>
          </w:p>
          <w:p w:rsidR="005D5733" w:rsidRDefault="005D5733" w:rsidP="00A37549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4B4B4B"/>
                <w:sz w:val="18"/>
                <w:szCs w:val="18"/>
              </w:rPr>
            </w:pPr>
            <w:r>
              <w:rPr>
                <w:rFonts w:ascii="Arial" w:hAnsi="Arial" w:cs="Arial"/>
                <w:color w:val="4B4B4B"/>
                <w:sz w:val="18"/>
                <w:szCs w:val="18"/>
              </w:rPr>
              <w:br/>
              <w:t xml:space="preserve">• Impianti </w:t>
            </w:r>
            <w:proofErr w:type="spellStart"/>
            <w:r>
              <w:rPr>
                <w:rFonts w:ascii="Arial" w:hAnsi="Arial" w:cs="Arial"/>
                <w:color w:val="4B4B4B"/>
                <w:sz w:val="18"/>
                <w:szCs w:val="18"/>
              </w:rPr>
              <w:t>internalizzati</w:t>
            </w:r>
            <w:proofErr w:type="spellEnd"/>
            <w:r>
              <w:rPr>
                <w:rFonts w:ascii="Arial" w:hAnsi="Arial" w:cs="Arial"/>
                <w:color w:val="4B4B4B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4B4B4B"/>
                <w:sz w:val="18"/>
                <w:szCs w:val="18"/>
              </w:rPr>
              <w:br/>
              <w:t>• Impianti che rispettano la condizione di flusso totale delle sorgenti 25000 lm.</w:t>
            </w:r>
            <w:r>
              <w:rPr>
                <w:rFonts w:ascii="Arial" w:hAnsi="Arial" w:cs="Arial"/>
                <w:color w:val="4B4B4B"/>
                <w:sz w:val="18"/>
                <w:szCs w:val="18"/>
              </w:rPr>
              <w:br/>
              <w:t>• Impianti destinati all'illuminazione di monumenti ed edifici di comprovato valore storico-artistico.</w:t>
            </w:r>
          </w:p>
        </w:tc>
      </w:tr>
    </w:tbl>
    <w:p w:rsidR="005D5733" w:rsidRDefault="005D5733"/>
    <w:p w:rsidR="00521236" w:rsidRDefault="00521236" w:rsidP="00521236">
      <w:pPr>
        <w:pStyle w:val="Titolo4"/>
      </w:pPr>
      <w:r>
        <w:t>Emilia Romagna</w:t>
      </w:r>
    </w:p>
    <w:p w:rsidR="00521236" w:rsidRDefault="00521236" w:rsidP="00521236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18"/>
          <w:szCs w:val="18"/>
        </w:rPr>
      </w:pPr>
      <w:r>
        <w:rPr>
          <w:rStyle w:val="Enfasigrassetto"/>
          <w:rFonts w:eastAsiaTheme="majorEastAsia" w:cs="Arial"/>
          <w:color w:val="4B4B4B"/>
          <w:sz w:val="18"/>
          <w:szCs w:val="18"/>
          <w:bdr w:val="none" w:sz="0" w:space="0" w:color="auto" w:frame="1"/>
        </w:rPr>
        <w:t>Requisiti tecnici degli impianti di illuminazione</w:t>
      </w:r>
      <w:r>
        <w:rPr>
          <w:rFonts w:ascii="Arial" w:hAnsi="Arial" w:cs="Arial"/>
          <w:b/>
          <w:bCs/>
          <w:color w:val="4B4B4B"/>
          <w:sz w:val="18"/>
          <w:szCs w:val="18"/>
          <w:bdr w:val="none" w:sz="0" w:space="0" w:color="auto" w:frame="1"/>
        </w:rPr>
        <w:br/>
      </w:r>
      <w:r>
        <w:rPr>
          <w:rFonts w:ascii="Arial" w:hAnsi="Arial" w:cs="Arial"/>
          <w:color w:val="4B4B4B"/>
          <w:sz w:val="18"/>
          <w:szCs w:val="18"/>
        </w:rPr>
        <w:t>- emissione massima 0 cd/km per angoli &gt;= 90°;</w:t>
      </w:r>
      <w:r>
        <w:rPr>
          <w:rFonts w:ascii="Arial" w:hAnsi="Arial" w:cs="Arial"/>
          <w:color w:val="4B4B4B"/>
          <w:sz w:val="18"/>
          <w:szCs w:val="18"/>
        </w:rPr>
        <w:br/>
        <w:t>- utilizzo di lampade al sodio alta e bassa pressione;</w:t>
      </w:r>
      <w:r>
        <w:rPr>
          <w:rFonts w:ascii="Arial" w:hAnsi="Arial" w:cs="Arial"/>
          <w:color w:val="4B4B4B"/>
          <w:sz w:val="18"/>
          <w:szCs w:val="18"/>
        </w:rPr>
        <w:br/>
      </w:r>
      <w:r>
        <w:rPr>
          <w:rFonts w:ascii="Arial" w:hAnsi="Arial" w:cs="Arial"/>
          <w:color w:val="4B4B4B"/>
          <w:sz w:val="18"/>
          <w:szCs w:val="18"/>
        </w:rPr>
        <w:lastRenderedPageBreak/>
        <w:t>- non superare il livello minimo di luminanza media mantenuta dalle norme di sicurezza; in assenza di queste, luminanza media di 1 cd/m2;</w:t>
      </w:r>
      <w:r>
        <w:rPr>
          <w:rFonts w:ascii="Arial" w:hAnsi="Arial" w:cs="Arial"/>
          <w:color w:val="4B4B4B"/>
          <w:sz w:val="18"/>
          <w:szCs w:val="18"/>
        </w:rPr>
        <w:br/>
        <w:t>- riduzione, entro l'orario stabilito con atti delle amministrazioni comunali, dell'emissione luminosa in misura non inferiore al 30% rispetto al primo regime di operatività senza compromettere la sicurezza.</w:t>
      </w:r>
    </w:p>
    <w:p w:rsidR="00521236" w:rsidRDefault="00521236" w:rsidP="00521236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18"/>
          <w:szCs w:val="18"/>
        </w:rPr>
      </w:pPr>
      <w:r>
        <w:rPr>
          <w:rFonts w:ascii="Arial" w:hAnsi="Arial" w:cs="Arial"/>
          <w:color w:val="4B4B4B"/>
          <w:sz w:val="18"/>
          <w:szCs w:val="18"/>
        </w:rPr>
        <w:t> </w:t>
      </w:r>
    </w:p>
    <w:p w:rsidR="00521236" w:rsidRDefault="00521236" w:rsidP="00521236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18"/>
          <w:szCs w:val="18"/>
        </w:rPr>
      </w:pPr>
      <w:r>
        <w:rPr>
          <w:rStyle w:val="Enfasigrassetto"/>
          <w:rFonts w:eastAsiaTheme="majorEastAsia" w:cs="Arial"/>
          <w:color w:val="4B4B4B"/>
          <w:sz w:val="18"/>
          <w:szCs w:val="18"/>
          <w:bdr w:val="none" w:sz="0" w:space="0" w:color="auto" w:frame="1"/>
        </w:rPr>
        <w:t>Monumenti ed edifici</w:t>
      </w:r>
      <w:r>
        <w:rPr>
          <w:rFonts w:ascii="Arial" w:hAnsi="Arial" w:cs="Arial"/>
          <w:color w:val="4B4B4B"/>
          <w:sz w:val="18"/>
          <w:szCs w:val="18"/>
        </w:rPr>
        <w:t>: l'illuminazione deve avvenire di norma dall'alto verso il basso; solo in caso di comprovato interesse storico-architettonico e monumentale e di quelli di pregio storico, culturale e testimoniale, i fasci di luce possono essere orientati dal basso verso l'alto.</w:t>
      </w:r>
      <w:r>
        <w:rPr>
          <w:rFonts w:ascii="Arial" w:hAnsi="Arial" w:cs="Arial"/>
          <w:color w:val="4B4B4B"/>
          <w:sz w:val="18"/>
          <w:szCs w:val="18"/>
        </w:rPr>
        <w:br/>
        <w:t>In questo caso devono essere previsti dispositivi di contenimento del flusso disperso (schermi o alette paraluce).</w:t>
      </w:r>
    </w:p>
    <w:p w:rsidR="00521236" w:rsidRDefault="00521236" w:rsidP="00521236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18"/>
          <w:szCs w:val="18"/>
        </w:rPr>
      </w:pPr>
      <w:r>
        <w:rPr>
          <w:rStyle w:val="Enfasigrassetto"/>
          <w:rFonts w:eastAsiaTheme="majorEastAsia" w:cs="Arial"/>
          <w:color w:val="4B4B4B"/>
          <w:sz w:val="18"/>
          <w:szCs w:val="18"/>
          <w:bdr w:val="none" w:sz="0" w:space="0" w:color="auto" w:frame="1"/>
        </w:rPr>
        <w:t>Impianti sportivi</w:t>
      </w:r>
      <w:r>
        <w:rPr>
          <w:rFonts w:ascii="Arial" w:hAnsi="Arial" w:cs="Arial"/>
          <w:color w:val="4B4B4B"/>
          <w:sz w:val="18"/>
          <w:szCs w:val="18"/>
        </w:rPr>
        <w:t>: l'illuminazione di impianti sportivi deve essere realizzata in modo da evitare fenomeni di dispersione di luce verso l'alto e al di fuori dei suddetti impianti.</w:t>
      </w:r>
    </w:p>
    <w:p w:rsidR="00521236" w:rsidRDefault="00521236" w:rsidP="00521236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18"/>
          <w:szCs w:val="18"/>
        </w:rPr>
      </w:pPr>
      <w:r>
        <w:rPr>
          <w:rFonts w:ascii="Arial" w:hAnsi="Arial" w:cs="Arial"/>
          <w:color w:val="4B4B4B"/>
          <w:sz w:val="18"/>
          <w:szCs w:val="18"/>
        </w:rPr>
        <w:br/>
      </w:r>
      <w:r>
        <w:rPr>
          <w:rStyle w:val="Enfasigrassetto"/>
          <w:rFonts w:eastAsiaTheme="majorEastAsia" w:cs="Arial"/>
          <w:color w:val="4B4B4B"/>
          <w:sz w:val="18"/>
          <w:szCs w:val="18"/>
          <w:bdr w:val="none" w:sz="0" w:space="0" w:color="auto" w:frame="1"/>
        </w:rPr>
        <w:t>Deroghe</w:t>
      </w:r>
      <w:r>
        <w:rPr>
          <w:rFonts w:ascii="Arial" w:hAnsi="Arial" w:cs="Arial"/>
          <w:color w:val="4B4B4B"/>
          <w:sz w:val="18"/>
          <w:szCs w:val="18"/>
        </w:rPr>
        <w:br/>
        <w:t>1) per impianti con emissione complessiva al di sopra del piano orizzontale non superiore a 2250 lm, costituiti da sorgenti di luce con flusso totale emesso in ogni direzione non superiore a 1500 lm.</w:t>
      </w:r>
      <w:r>
        <w:rPr>
          <w:rFonts w:ascii="Arial" w:hAnsi="Arial" w:cs="Arial"/>
          <w:color w:val="4B4B4B"/>
          <w:sz w:val="18"/>
          <w:szCs w:val="18"/>
        </w:rPr>
        <w:br/>
        <w:t>2) per le sorgenti di uso temporaneo che vengono spente entro le ore 20:00 nel periodo di ora solare ed le 22:00 nel periodo di ora legale.</w:t>
      </w:r>
      <w:r>
        <w:rPr>
          <w:rFonts w:ascii="Arial" w:hAnsi="Arial" w:cs="Arial"/>
          <w:color w:val="4B4B4B"/>
          <w:sz w:val="18"/>
          <w:szCs w:val="18"/>
        </w:rPr>
        <w:br/>
        <w:t xml:space="preserve">3) sorgenti interne ed </w:t>
      </w:r>
      <w:proofErr w:type="spellStart"/>
      <w:r>
        <w:rPr>
          <w:rFonts w:ascii="Arial" w:hAnsi="Arial" w:cs="Arial"/>
          <w:color w:val="4B4B4B"/>
          <w:sz w:val="18"/>
          <w:szCs w:val="18"/>
        </w:rPr>
        <w:t>internalizzate</w:t>
      </w:r>
      <w:proofErr w:type="spellEnd"/>
      <w:r>
        <w:rPr>
          <w:rFonts w:ascii="Arial" w:hAnsi="Arial" w:cs="Arial"/>
          <w:color w:val="4B4B4B"/>
          <w:sz w:val="18"/>
          <w:szCs w:val="18"/>
        </w:rPr>
        <w:t>.</w:t>
      </w:r>
    </w:p>
    <w:p w:rsidR="00521236" w:rsidRDefault="00521236"/>
    <w:p w:rsidR="00521236" w:rsidRDefault="00B47FCD" w:rsidP="00B47FCD">
      <w:pPr>
        <w:pStyle w:val="Titolo4"/>
      </w:pPr>
      <w:r>
        <w:t>Marche</w:t>
      </w:r>
    </w:p>
    <w:p w:rsidR="00B47FCD" w:rsidRDefault="00B47FCD" w:rsidP="00B47FCD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4B4B4B"/>
          <w:sz w:val="18"/>
          <w:szCs w:val="18"/>
        </w:rPr>
      </w:pPr>
      <w:r>
        <w:rPr>
          <w:rStyle w:val="Enfasigrassetto"/>
          <w:rFonts w:eastAsiaTheme="majorEastAsia" w:cs="Arial"/>
          <w:color w:val="4B4B4B"/>
          <w:sz w:val="18"/>
          <w:szCs w:val="18"/>
          <w:bdr w:val="none" w:sz="0" w:space="0" w:color="auto" w:frame="1"/>
        </w:rPr>
        <w:t>Criteri generali per gli impianti</w:t>
      </w:r>
    </w:p>
    <w:p w:rsidR="00B47FCD" w:rsidRDefault="00B47FCD" w:rsidP="00B47FCD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18"/>
          <w:szCs w:val="18"/>
        </w:rPr>
      </w:pPr>
      <w:r>
        <w:rPr>
          <w:rFonts w:ascii="Arial" w:hAnsi="Arial" w:cs="Arial"/>
          <w:color w:val="4B4B4B"/>
          <w:sz w:val="18"/>
          <w:szCs w:val="18"/>
        </w:rPr>
        <w:br/>
      </w:r>
      <w:r>
        <w:rPr>
          <w:rStyle w:val="Enfasigrassetto"/>
          <w:rFonts w:eastAsiaTheme="majorEastAsia" w:cs="Arial"/>
          <w:color w:val="4B4B4B"/>
          <w:sz w:val="18"/>
          <w:szCs w:val="18"/>
          <w:bdr w:val="none" w:sz="0" w:space="0" w:color="auto" w:frame="1"/>
        </w:rPr>
        <w:t>• Impianti di illuminazione esterna di strade (traffico veicolare e pedonale), parcheggi, svincoli stradali o ferroviari, porti, impianti sportivi e grandi aree di ogni tipo:</w:t>
      </w:r>
      <w:r>
        <w:rPr>
          <w:rFonts w:ascii="Arial" w:hAnsi="Arial" w:cs="Arial"/>
          <w:color w:val="4B4B4B"/>
          <w:sz w:val="18"/>
          <w:szCs w:val="18"/>
        </w:rPr>
        <w:br/>
        <w:t>- massima emissione 0 cd/km a 90° ed oltre;</w:t>
      </w:r>
      <w:r>
        <w:rPr>
          <w:rFonts w:ascii="Arial" w:hAnsi="Arial" w:cs="Arial"/>
          <w:color w:val="4B4B4B"/>
          <w:sz w:val="18"/>
          <w:szCs w:val="18"/>
        </w:rPr>
        <w:br/>
        <w:t>- luminanza media mantenuta, non superiore ai livelli minimi consigliati dalle norme di sicurezza;</w:t>
      </w:r>
      <w:r>
        <w:rPr>
          <w:rFonts w:ascii="Arial" w:hAnsi="Arial" w:cs="Arial"/>
          <w:color w:val="4B4B4B"/>
          <w:sz w:val="18"/>
          <w:szCs w:val="18"/>
        </w:rPr>
        <w:br/>
        <w:t>- luminanza ≤ 1 cd/km nel caso non esistano norme di sicurezza;</w:t>
      </w:r>
      <w:r>
        <w:rPr>
          <w:rFonts w:ascii="Arial" w:hAnsi="Arial" w:cs="Arial"/>
          <w:color w:val="4B4B4B"/>
          <w:sz w:val="18"/>
          <w:szCs w:val="18"/>
        </w:rPr>
        <w:br/>
        <w:t>- lampada con rapporto lm/w &gt;= 90;</w:t>
      </w:r>
      <w:r>
        <w:rPr>
          <w:rFonts w:ascii="Arial" w:hAnsi="Arial" w:cs="Arial"/>
          <w:color w:val="4B4B4B"/>
          <w:sz w:val="18"/>
          <w:szCs w:val="18"/>
        </w:rPr>
        <w:br/>
        <w:t>- utilizzare dispositivi per ridurre i consumi energetici in misura non inferiore al 30% entro le ore 24:00.</w:t>
      </w:r>
    </w:p>
    <w:p w:rsidR="00B47FCD" w:rsidRDefault="00B47FCD" w:rsidP="00B47FCD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18"/>
          <w:szCs w:val="18"/>
        </w:rPr>
      </w:pPr>
      <w:r>
        <w:rPr>
          <w:rFonts w:ascii="Arial" w:hAnsi="Arial" w:cs="Arial"/>
          <w:color w:val="4B4B4B"/>
          <w:sz w:val="18"/>
          <w:szCs w:val="18"/>
        </w:rPr>
        <w:t>•</w:t>
      </w:r>
      <w:r>
        <w:rPr>
          <w:rStyle w:val="Enfasigrassetto"/>
          <w:rFonts w:eastAsiaTheme="majorEastAsia" w:cs="Arial"/>
          <w:color w:val="4B4B4B"/>
          <w:sz w:val="18"/>
          <w:szCs w:val="18"/>
          <w:bdr w:val="none" w:sz="0" w:space="0" w:color="auto" w:frame="1"/>
        </w:rPr>
        <w:t> Impianti di illuminazione di facciate di edifici di particolare e comprovato valore artistico e di monumenti:</w:t>
      </w:r>
      <w:r>
        <w:rPr>
          <w:rFonts w:ascii="Arial" w:hAnsi="Arial" w:cs="Arial"/>
          <w:b/>
          <w:bCs/>
          <w:color w:val="4B4B4B"/>
          <w:sz w:val="18"/>
          <w:szCs w:val="18"/>
          <w:bdr w:val="none" w:sz="0" w:space="0" w:color="auto" w:frame="1"/>
        </w:rPr>
        <w:br/>
      </w:r>
      <w:r>
        <w:rPr>
          <w:rFonts w:ascii="Arial" w:hAnsi="Arial" w:cs="Arial"/>
          <w:color w:val="4B4B4B"/>
          <w:sz w:val="18"/>
          <w:szCs w:val="18"/>
        </w:rPr>
        <w:t>- in caso di impossibilità ad ottenere impianti con illuminazione dall’alto verso il basso, è possibile l’illuminazione dal basso, quando i fasci di luce ricadono all’interno della sagoma dell’edificio e la luminanza massima consentita è pari a 0,5 cd/m2;</w:t>
      </w:r>
      <w:r>
        <w:rPr>
          <w:rFonts w:ascii="Arial" w:hAnsi="Arial" w:cs="Arial"/>
          <w:color w:val="4B4B4B"/>
          <w:sz w:val="18"/>
          <w:szCs w:val="18"/>
        </w:rPr>
        <w:br/>
        <w:t>- lampada con rapporto lm/w &gt;= 90;</w:t>
      </w:r>
      <w:r>
        <w:rPr>
          <w:rFonts w:ascii="Arial" w:hAnsi="Arial" w:cs="Arial"/>
          <w:color w:val="4B4B4B"/>
          <w:sz w:val="18"/>
          <w:szCs w:val="18"/>
        </w:rPr>
        <w:br/>
        <w:t>- utilizzare dispositivi per ridurre i consumi energetici in misura non inferiore al 30% entro le ore 24:00.</w:t>
      </w:r>
    </w:p>
    <w:p w:rsidR="00B47FCD" w:rsidRDefault="00B47FCD" w:rsidP="00B47FCD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18"/>
          <w:szCs w:val="18"/>
        </w:rPr>
      </w:pPr>
      <w:r>
        <w:rPr>
          <w:rStyle w:val="Enfasigrassetto"/>
          <w:rFonts w:eastAsiaTheme="majorEastAsia" w:cs="Arial"/>
          <w:color w:val="4B4B4B"/>
          <w:sz w:val="18"/>
          <w:szCs w:val="18"/>
          <w:bdr w:val="none" w:sz="0" w:space="0" w:color="auto" w:frame="1"/>
        </w:rPr>
        <w:t>• Impianti di illuminazione di edifici che non abbiano carattere monumentale o particolare e comprovato valora artistico:</w:t>
      </w:r>
      <w:r>
        <w:rPr>
          <w:rFonts w:ascii="Arial" w:hAnsi="Arial" w:cs="Arial"/>
          <w:color w:val="4B4B4B"/>
          <w:sz w:val="18"/>
          <w:szCs w:val="18"/>
        </w:rPr>
        <w:br/>
        <w:t>- massima emissione 0 cd/km a 90° ad oltre;</w:t>
      </w:r>
      <w:r>
        <w:rPr>
          <w:rFonts w:ascii="Arial" w:hAnsi="Arial" w:cs="Arial"/>
          <w:color w:val="4B4B4B"/>
          <w:sz w:val="18"/>
          <w:szCs w:val="18"/>
        </w:rPr>
        <w:br/>
        <w:t>- illuminazione dall’alto verso il basso;</w:t>
      </w:r>
      <w:r>
        <w:rPr>
          <w:rFonts w:ascii="Arial" w:hAnsi="Arial" w:cs="Arial"/>
          <w:color w:val="4B4B4B"/>
          <w:sz w:val="18"/>
          <w:szCs w:val="18"/>
        </w:rPr>
        <w:br/>
        <w:t>- controllo del flusso diretto entro le sagome degli edifici;</w:t>
      </w:r>
      <w:r>
        <w:rPr>
          <w:rFonts w:ascii="Arial" w:hAnsi="Arial" w:cs="Arial"/>
          <w:color w:val="4B4B4B"/>
          <w:sz w:val="18"/>
          <w:szCs w:val="18"/>
        </w:rPr>
        <w:br/>
        <w:t>- luminanza massima 1 cd/km;</w:t>
      </w:r>
      <w:r>
        <w:rPr>
          <w:rFonts w:ascii="Arial" w:hAnsi="Arial" w:cs="Arial"/>
          <w:color w:val="4B4B4B"/>
          <w:sz w:val="18"/>
          <w:szCs w:val="18"/>
        </w:rPr>
        <w:br/>
        <w:t>- riduzione o spegnimento della potenza impegnata di almeno il 30% entro le 24:00;</w:t>
      </w:r>
      <w:r>
        <w:rPr>
          <w:rFonts w:ascii="Arial" w:hAnsi="Arial" w:cs="Arial"/>
          <w:color w:val="4B4B4B"/>
          <w:sz w:val="18"/>
          <w:szCs w:val="18"/>
        </w:rPr>
        <w:br/>
        <w:t>- lampade con rapporto lm/w &gt;= 90°.</w:t>
      </w:r>
    </w:p>
    <w:p w:rsidR="00B47FCD" w:rsidRDefault="00B47FCD" w:rsidP="00B47FCD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18"/>
          <w:szCs w:val="18"/>
        </w:rPr>
      </w:pPr>
      <w:r>
        <w:rPr>
          <w:rStyle w:val="Enfasigrassetto"/>
          <w:rFonts w:eastAsiaTheme="majorEastAsia" w:cs="Arial"/>
          <w:color w:val="4B4B4B"/>
          <w:sz w:val="18"/>
          <w:szCs w:val="18"/>
          <w:bdr w:val="none" w:sz="0" w:space="0" w:color="auto" w:frame="1"/>
        </w:rPr>
        <w:t>• Impianti di illuminazione di monumenti con sagoma irregolare:</w:t>
      </w:r>
      <w:r>
        <w:rPr>
          <w:rFonts w:ascii="Arial" w:hAnsi="Arial" w:cs="Arial"/>
          <w:color w:val="4B4B4B"/>
          <w:sz w:val="18"/>
          <w:szCs w:val="18"/>
        </w:rPr>
        <w:br/>
        <w:t>- flusso diretto verso l’emisfero superiore, non intercettato dalla struttura </w:t>
      </w:r>
      <w:r>
        <w:rPr>
          <w:rFonts w:ascii="Arial" w:hAnsi="Arial" w:cs="Arial"/>
          <w:color w:val="4B4B4B"/>
          <w:sz w:val="18"/>
          <w:szCs w:val="18"/>
        </w:rPr>
        <w:br/>
        <w:t>≤ 10% del flusso emesso dall’impianto;</w:t>
      </w:r>
      <w:r>
        <w:rPr>
          <w:rFonts w:ascii="Arial" w:hAnsi="Arial" w:cs="Arial"/>
          <w:color w:val="4B4B4B"/>
          <w:sz w:val="18"/>
          <w:szCs w:val="18"/>
        </w:rPr>
        <w:br/>
        <w:t>- spegnimento o riduzione della potenza impegnata in misura non inferiore al 30% entro le ore 24:00;</w:t>
      </w:r>
      <w:r>
        <w:rPr>
          <w:rFonts w:ascii="Arial" w:hAnsi="Arial" w:cs="Arial"/>
          <w:color w:val="4B4B4B"/>
          <w:sz w:val="18"/>
          <w:szCs w:val="18"/>
        </w:rPr>
        <w:br/>
        <w:t>- massima luminanza consentita 0,5 cd/m2;</w:t>
      </w:r>
      <w:r>
        <w:rPr>
          <w:rFonts w:ascii="Arial" w:hAnsi="Arial" w:cs="Arial"/>
          <w:color w:val="4B4B4B"/>
          <w:sz w:val="18"/>
          <w:szCs w:val="18"/>
        </w:rPr>
        <w:br/>
        <w:t>- utilizzo di lampade con rapporto lm/w 90°.</w:t>
      </w:r>
    </w:p>
    <w:p w:rsidR="00B47FCD" w:rsidRDefault="00B47FCD" w:rsidP="00B47FCD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18"/>
          <w:szCs w:val="18"/>
        </w:rPr>
      </w:pPr>
      <w:r>
        <w:rPr>
          <w:rStyle w:val="Enfasigrassetto"/>
          <w:rFonts w:eastAsiaTheme="majorEastAsia" w:cs="Arial"/>
          <w:color w:val="4B4B4B"/>
          <w:sz w:val="18"/>
          <w:szCs w:val="18"/>
          <w:bdr w:val="none" w:sz="0" w:space="0" w:color="auto" w:frame="1"/>
        </w:rPr>
        <w:t>• Insegne pubblicitarie di non specifico e indispensabile uso notturno:</w:t>
      </w:r>
      <w:r>
        <w:rPr>
          <w:rFonts w:ascii="Arial" w:hAnsi="Arial" w:cs="Arial"/>
          <w:color w:val="4B4B4B"/>
          <w:sz w:val="18"/>
          <w:szCs w:val="18"/>
        </w:rPr>
        <w:br/>
        <w:t>- spegnimento entro le ore 24:00 o entro l’orario di chiusura (esercizi commerciali);</w:t>
      </w:r>
      <w:r>
        <w:rPr>
          <w:rFonts w:ascii="Arial" w:hAnsi="Arial" w:cs="Arial"/>
          <w:color w:val="4B4B4B"/>
          <w:sz w:val="18"/>
          <w:szCs w:val="18"/>
        </w:rPr>
        <w:br/>
        <w:t xml:space="preserve">- </w:t>
      </w:r>
      <w:proofErr w:type="spellStart"/>
      <w:r>
        <w:rPr>
          <w:rFonts w:ascii="Arial" w:hAnsi="Arial" w:cs="Arial"/>
          <w:color w:val="4B4B4B"/>
          <w:sz w:val="18"/>
          <w:szCs w:val="18"/>
        </w:rPr>
        <w:t>illuminzione</w:t>
      </w:r>
      <w:proofErr w:type="spellEnd"/>
      <w:r>
        <w:rPr>
          <w:rFonts w:ascii="Arial" w:hAnsi="Arial" w:cs="Arial"/>
          <w:color w:val="4B4B4B"/>
          <w:sz w:val="18"/>
          <w:szCs w:val="18"/>
        </w:rPr>
        <w:t xml:space="preserve"> vietata dal basso verso l’alto per tutte le insegne non dotate di luce interna.</w:t>
      </w:r>
    </w:p>
    <w:p w:rsidR="00B47FCD" w:rsidRDefault="00B47FCD" w:rsidP="00B47FCD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18"/>
          <w:szCs w:val="18"/>
        </w:rPr>
      </w:pPr>
      <w:r>
        <w:rPr>
          <w:rFonts w:ascii="Arial" w:hAnsi="Arial" w:cs="Arial"/>
          <w:color w:val="4B4B4B"/>
          <w:sz w:val="18"/>
          <w:szCs w:val="18"/>
        </w:rPr>
        <w:br/>
        <w:t>L’illuminazione di </w:t>
      </w:r>
      <w:r>
        <w:rPr>
          <w:rStyle w:val="Enfasigrassetto"/>
          <w:rFonts w:eastAsiaTheme="majorEastAsia" w:cs="Arial"/>
          <w:color w:val="4B4B4B"/>
          <w:sz w:val="18"/>
          <w:szCs w:val="18"/>
          <w:bdr w:val="none" w:sz="0" w:space="0" w:color="auto" w:frame="1"/>
        </w:rPr>
        <w:t>impianti sportivi e grandi aree</w:t>
      </w:r>
      <w:r>
        <w:rPr>
          <w:rFonts w:ascii="Arial" w:hAnsi="Arial" w:cs="Arial"/>
          <w:color w:val="4B4B4B"/>
          <w:sz w:val="18"/>
          <w:szCs w:val="18"/>
        </w:rPr>
        <w:t> devono essere impiegati criteri e mezzi per evitare fenomeni di dispersione di luce verso l’alto e al di fuori dei suddetti impianti.</w:t>
      </w:r>
      <w:r>
        <w:rPr>
          <w:rFonts w:ascii="Arial" w:hAnsi="Arial" w:cs="Arial"/>
          <w:color w:val="4B4B4B"/>
          <w:sz w:val="18"/>
          <w:szCs w:val="18"/>
        </w:rPr>
        <w:br/>
      </w:r>
      <w:r>
        <w:rPr>
          <w:rFonts w:ascii="Arial" w:hAnsi="Arial" w:cs="Arial"/>
          <w:color w:val="4B4B4B"/>
          <w:sz w:val="18"/>
          <w:szCs w:val="18"/>
        </w:rPr>
        <w:br/>
      </w:r>
      <w:r>
        <w:rPr>
          <w:rStyle w:val="Enfasigrassetto"/>
          <w:rFonts w:eastAsiaTheme="majorEastAsia" w:cs="Arial"/>
          <w:color w:val="4B4B4B"/>
          <w:sz w:val="18"/>
          <w:szCs w:val="18"/>
          <w:bdr w:val="none" w:sz="0" w:space="0" w:color="auto" w:frame="1"/>
        </w:rPr>
        <w:t>In aggiunta nelle aree di particolare protezione:</w:t>
      </w:r>
    </w:p>
    <w:p w:rsidR="00B47FCD" w:rsidRDefault="00B47FCD" w:rsidP="00B47FCD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18"/>
          <w:szCs w:val="18"/>
        </w:rPr>
      </w:pPr>
      <w:r>
        <w:rPr>
          <w:rFonts w:ascii="Arial" w:hAnsi="Arial" w:cs="Arial"/>
          <w:b/>
          <w:bCs/>
          <w:color w:val="4B4B4B"/>
          <w:sz w:val="18"/>
          <w:szCs w:val="18"/>
          <w:bdr w:val="none" w:sz="0" w:space="0" w:color="auto" w:frame="1"/>
        </w:rPr>
        <w:br/>
      </w:r>
      <w:r>
        <w:rPr>
          <w:rFonts w:ascii="Arial" w:hAnsi="Arial" w:cs="Arial"/>
          <w:color w:val="4B4B4B"/>
          <w:sz w:val="18"/>
          <w:szCs w:val="18"/>
        </w:rPr>
        <w:t>• impianti di illuminazione di facciate di edifici che non abbiano carattere monumentale o particolare e comprovato valore artistico:</w:t>
      </w:r>
      <w:r>
        <w:rPr>
          <w:rFonts w:ascii="Arial" w:hAnsi="Arial" w:cs="Arial"/>
          <w:color w:val="4B4B4B"/>
          <w:sz w:val="18"/>
          <w:szCs w:val="18"/>
        </w:rPr>
        <w:br/>
        <w:t>- divieto di illuminare dal basso verso l’alto;</w:t>
      </w:r>
      <w:r>
        <w:rPr>
          <w:rFonts w:ascii="Arial" w:hAnsi="Arial" w:cs="Arial"/>
          <w:color w:val="4B4B4B"/>
          <w:sz w:val="18"/>
          <w:szCs w:val="18"/>
        </w:rPr>
        <w:br/>
        <w:t>- obbligo di spegnimento entro le ore 24:00;</w:t>
      </w:r>
      <w:r>
        <w:rPr>
          <w:rFonts w:ascii="Arial" w:hAnsi="Arial" w:cs="Arial"/>
          <w:color w:val="4B4B4B"/>
          <w:sz w:val="18"/>
          <w:szCs w:val="18"/>
        </w:rPr>
        <w:br/>
        <w:t>- luminanza massima pari a 1 cd/m2.</w:t>
      </w:r>
    </w:p>
    <w:p w:rsidR="00B47FCD" w:rsidRDefault="00B47FCD" w:rsidP="00B47FCD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18"/>
          <w:szCs w:val="18"/>
        </w:rPr>
      </w:pPr>
      <w:r>
        <w:rPr>
          <w:rFonts w:ascii="Arial" w:hAnsi="Arial" w:cs="Arial"/>
          <w:color w:val="4B4B4B"/>
          <w:sz w:val="18"/>
          <w:szCs w:val="18"/>
        </w:rPr>
        <w:t>• impianti di illuminazione di facciate di edifici di particolare e comprovato valore artistico e di monumenti:</w:t>
      </w:r>
      <w:r>
        <w:rPr>
          <w:rFonts w:ascii="Arial" w:hAnsi="Arial" w:cs="Arial"/>
          <w:color w:val="4B4B4B"/>
          <w:sz w:val="18"/>
          <w:szCs w:val="18"/>
        </w:rPr>
        <w:br/>
        <w:t>- spegnimento totale entro le ore 24:00.</w:t>
      </w:r>
    </w:p>
    <w:p w:rsidR="00B47FCD" w:rsidRDefault="00B47FCD" w:rsidP="00B47FCD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18"/>
          <w:szCs w:val="18"/>
        </w:rPr>
      </w:pPr>
      <w:r>
        <w:rPr>
          <w:rFonts w:ascii="Arial" w:hAnsi="Arial" w:cs="Arial"/>
          <w:color w:val="4B4B4B"/>
          <w:sz w:val="18"/>
          <w:szCs w:val="18"/>
        </w:rPr>
        <w:t>• Insegne pubblicitarie, di negozi o esercizi vari:</w:t>
      </w:r>
      <w:r>
        <w:rPr>
          <w:rFonts w:ascii="Arial" w:hAnsi="Arial" w:cs="Arial"/>
          <w:color w:val="4B4B4B"/>
          <w:sz w:val="18"/>
          <w:szCs w:val="18"/>
        </w:rPr>
        <w:br/>
        <w:t>- spegnimento entro le ore 24:00.</w:t>
      </w:r>
    </w:p>
    <w:p w:rsidR="00B47FCD" w:rsidRDefault="00B47FCD"/>
    <w:p w:rsidR="00D2737C" w:rsidRDefault="00D2737C"/>
    <w:p w:rsidR="00D2737C" w:rsidRDefault="00D2737C" w:rsidP="00D2737C">
      <w:pPr>
        <w:pStyle w:val="Titolo4"/>
      </w:pPr>
      <w:r>
        <w:t>Molise</w:t>
      </w:r>
    </w:p>
    <w:p w:rsidR="00D2737C" w:rsidRDefault="00D2737C" w:rsidP="00D2737C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18"/>
          <w:szCs w:val="18"/>
        </w:rPr>
      </w:pPr>
      <w:bookmarkStart w:id="0" w:name="_GoBack"/>
      <w:r>
        <w:rPr>
          <w:rStyle w:val="Enfasigrassetto"/>
          <w:rFonts w:eastAsiaTheme="majorEastAsia" w:cs="Arial"/>
          <w:color w:val="4B4B4B"/>
          <w:sz w:val="18"/>
          <w:szCs w:val="18"/>
          <w:bdr w:val="none" w:sz="0" w:space="0" w:color="auto" w:frame="1"/>
        </w:rPr>
        <w:t>Caratteristiche tecniche degli impianti:</w:t>
      </w:r>
    </w:p>
    <w:p w:rsidR="00D2737C" w:rsidRDefault="00D2737C" w:rsidP="00D2737C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18"/>
          <w:szCs w:val="18"/>
        </w:rPr>
      </w:pPr>
      <w:r>
        <w:rPr>
          <w:rFonts w:ascii="Arial" w:hAnsi="Arial" w:cs="Arial"/>
          <w:color w:val="4B4B4B"/>
          <w:sz w:val="18"/>
          <w:szCs w:val="18"/>
        </w:rPr>
        <w:t>• Utilizzo di lampade ad elevata tecnologia ed efficienza luminosa, quali sodio alta e bassa pressione. Nei soli casi ove risulti indispensabile una elevata resa cromatica è consentito l'impiego di lampade a largo spettro, agli alogenuri metallici, a fluorescenza compatte e al sodio a luce bianca. </w:t>
      </w:r>
      <w:r>
        <w:rPr>
          <w:rFonts w:ascii="Arial" w:hAnsi="Arial" w:cs="Arial"/>
          <w:color w:val="4B4B4B"/>
          <w:sz w:val="18"/>
          <w:szCs w:val="18"/>
        </w:rPr>
        <w:br/>
        <w:t>• Luminanza &gt;= 1 cd/m2 per tutte le superfici illuminate , fatte salve le diverse disposizioni connesse alla sicurezza.</w:t>
      </w:r>
      <w:r>
        <w:rPr>
          <w:rFonts w:ascii="Arial" w:hAnsi="Arial" w:cs="Arial"/>
          <w:color w:val="4B4B4B"/>
          <w:sz w:val="18"/>
          <w:szCs w:val="18"/>
        </w:rPr>
        <w:br/>
        <w:t>• Riduzione entro le ore 24:00 dell'emissione di luce in misura non inferiore al 30%, a condizione di non compromettere la sicurezza.</w:t>
      </w:r>
      <w:r>
        <w:rPr>
          <w:rFonts w:ascii="Arial" w:hAnsi="Arial" w:cs="Arial"/>
          <w:color w:val="4B4B4B"/>
          <w:sz w:val="18"/>
          <w:szCs w:val="18"/>
        </w:rPr>
        <w:br/>
        <w:t xml:space="preserve">• Rapporto fra </w:t>
      </w:r>
      <w:proofErr w:type="spellStart"/>
      <w:r>
        <w:rPr>
          <w:rFonts w:ascii="Arial" w:hAnsi="Arial" w:cs="Arial"/>
          <w:color w:val="4B4B4B"/>
          <w:sz w:val="18"/>
          <w:szCs w:val="18"/>
        </w:rPr>
        <w:t>interdistanza</w:t>
      </w:r>
      <w:proofErr w:type="spellEnd"/>
      <w:r>
        <w:rPr>
          <w:rFonts w:ascii="Arial" w:hAnsi="Arial" w:cs="Arial"/>
          <w:color w:val="4B4B4B"/>
          <w:sz w:val="18"/>
          <w:szCs w:val="18"/>
        </w:rPr>
        <w:t xml:space="preserve"> ed altezza delle sorgenti luminose non inferiore a 3,7 . Sono consentite soluzioni alternative solo in quanto funzionali alla certificata migliore efficienza generale dell'impianto.</w:t>
      </w:r>
    </w:p>
    <w:p w:rsidR="00D2737C" w:rsidRDefault="00D2737C" w:rsidP="00D2737C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18"/>
          <w:szCs w:val="18"/>
        </w:rPr>
      </w:pPr>
      <w:r>
        <w:rPr>
          <w:rFonts w:ascii="Arial" w:hAnsi="Arial" w:cs="Arial"/>
          <w:color w:val="4B4B4B"/>
          <w:sz w:val="18"/>
          <w:szCs w:val="18"/>
        </w:rPr>
        <w:t> </w:t>
      </w:r>
    </w:p>
    <w:p w:rsidR="00D2737C" w:rsidRDefault="00D2737C" w:rsidP="00D2737C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18"/>
          <w:szCs w:val="18"/>
        </w:rPr>
      </w:pPr>
      <w:r>
        <w:rPr>
          <w:rStyle w:val="Enfasigrassetto"/>
          <w:rFonts w:eastAsiaTheme="majorEastAsia" w:cs="Arial"/>
          <w:color w:val="4B4B4B"/>
          <w:sz w:val="18"/>
          <w:szCs w:val="18"/>
          <w:bdr w:val="none" w:sz="0" w:space="0" w:color="auto" w:frame="1"/>
        </w:rPr>
        <w:t>Criteri aggiuntivi per impianti specifici:</w:t>
      </w:r>
    </w:p>
    <w:p w:rsidR="00D2737C" w:rsidRDefault="00D2737C" w:rsidP="00D2737C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18"/>
          <w:szCs w:val="18"/>
        </w:rPr>
      </w:pPr>
      <w:r>
        <w:rPr>
          <w:rFonts w:ascii="Arial" w:hAnsi="Arial" w:cs="Arial"/>
          <w:color w:val="4B4B4B"/>
          <w:sz w:val="18"/>
          <w:szCs w:val="18"/>
        </w:rPr>
        <w:t xml:space="preserve">• Impianti Extraurbani - L'illuminazione di autostrade, tangenziali, circonvallazioni, ecc. deve essere garantita con </w:t>
      </w:r>
      <w:proofErr w:type="gramStart"/>
      <w:r>
        <w:rPr>
          <w:rFonts w:ascii="Arial" w:hAnsi="Arial" w:cs="Arial"/>
          <w:color w:val="4B4B4B"/>
          <w:sz w:val="18"/>
          <w:szCs w:val="18"/>
        </w:rPr>
        <w:t>l'impiego ,</w:t>
      </w:r>
      <w:proofErr w:type="gramEnd"/>
      <w:r>
        <w:rPr>
          <w:rFonts w:ascii="Arial" w:hAnsi="Arial" w:cs="Arial"/>
          <w:color w:val="4B4B4B"/>
          <w:sz w:val="18"/>
          <w:szCs w:val="18"/>
        </w:rPr>
        <w:t xml:space="preserve"> preferibilmente, di lampade al sodio bassa pressione (o alta pressione). </w:t>
      </w:r>
      <w:r>
        <w:rPr>
          <w:rFonts w:ascii="Arial" w:hAnsi="Arial" w:cs="Arial"/>
          <w:color w:val="4B4B4B"/>
          <w:sz w:val="18"/>
          <w:szCs w:val="18"/>
        </w:rPr>
        <w:br/>
        <w:t>• Grandi aree - L'illuminazione di parcheggi, piazzali, piazze ed altre superfici similari deve essere garantita con l'impiego, preferibilmente, di lampade sodio ad alta o bassa pressione. </w:t>
      </w:r>
      <w:r>
        <w:rPr>
          <w:rFonts w:ascii="Arial" w:hAnsi="Arial" w:cs="Arial"/>
          <w:color w:val="4B4B4B"/>
          <w:sz w:val="18"/>
          <w:szCs w:val="18"/>
        </w:rPr>
        <w:br/>
        <w:t>• Centri storici e vie commerciali - Evitare che il flusso luminoso sia intercettato significativamente dalla chioma degli alberi.</w:t>
      </w:r>
    </w:p>
    <w:p w:rsidR="00D2737C" w:rsidRDefault="00D2737C" w:rsidP="00D2737C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18"/>
          <w:szCs w:val="18"/>
        </w:rPr>
      </w:pPr>
      <w:r>
        <w:rPr>
          <w:rFonts w:ascii="Arial" w:hAnsi="Arial" w:cs="Arial"/>
          <w:color w:val="4B4B4B"/>
          <w:sz w:val="18"/>
          <w:szCs w:val="18"/>
        </w:rPr>
        <w:t>Criteri aggiuntivi per altri impianti specifici:</w:t>
      </w:r>
    </w:p>
    <w:p w:rsidR="00D2737C" w:rsidRDefault="00D2737C" w:rsidP="00D2737C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18"/>
          <w:szCs w:val="18"/>
        </w:rPr>
      </w:pPr>
      <w:r>
        <w:rPr>
          <w:rFonts w:ascii="Arial" w:hAnsi="Arial" w:cs="Arial"/>
          <w:color w:val="4B4B4B"/>
          <w:sz w:val="18"/>
          <w:szCs w:val="18"/>
        </w:rPr>
        <w:t>• Impianti sportivi - Sono ammesse lampade a ioduri metallici ove esista la necessità di elevata resa cromatica, utilizzo di proiettori asimmetrici per gli impianti di grande dimensione; ove siano previste riprese televisive è possibile affiancare fasci concentranti. I sistemi di variazione della luminanza in relazione alle attività/avvenimenti (allenamento, gare ecc.), di ogni tipo devono essere impiegati criteri e mezzi per evitare fenomeni di dispersione di luce verso l'</w:t>
      </w:r>
      <w:proofErr w:type="spellStart"/>
      <w:r>
        <w:rPr>
          <w:rFonts w:ascii="Arial" w:hAnsi="Arial" w:cs="Arial"/>
          <w:color w:val="4B4B4B"/>
          <w:sz w:val="18"/>
          <w:szCs w:val="18"/>
        </w:rPr>
        <w:t>altoe</w:t>
      </w:r>
      <w:proofErr w:type="spellEnd"/>
      <w:r>
        <w:rPr>
          <w:rFonts w:ascii="Arial" w:hAnsi="Arial" w:cs="Arial"/>
          <w:color w:val="4B4B4B"/>
          <w:sz w:val="18"/>
          <w:szCs w:val="18"/>
        </w:rPr>
        <w:t xml:space="preserve"> al di fuori dei suddetti impianti. </w:t>
      </w:r>
      <w:r>
        <w:rPr>
          <w:rFonts w:ascii="Arial" w:hAnsi="Arial" w:cs="Arial"/>
          <w:color w:val="4B4B4B"/>
          <w:sz w:val="18"/>
          <w:szCs w:val="18"/>
        </w:rPr>
        <w:br/>
        <w:t xml:space="preserve">• L'illuminazione di edifici e monumenti deve essere di tipo radente dall'alto verso il basso; solo nei casi di comprovata inapplicabilità del metodo ed esclusivamente per manufatti di comprovato valore artistico, architettonico e storico, sono ammesse altre forme di illuminazione </w:t>
      </w:r>
      <w:proofErr w:type="spellStart"/>
      <w:r>
        <w:rPr>
          <w:rFonts w:ascii="Arial" w:hAnsi="Arial" w:cs="Arial"/>
          <w:color w:val="4B4B4B"/>
          <w:sz w:val="18"/>
          <w:szCs w:val="18"/>
        </w:rPr>
        <w:t>purchè</w:t>
      </w:r>
      <w:proofErr w:type="spellEnd"/>
      <w:r>
        <w:rPr>
          <w:rFonts w:ascii="Arial" w:hAnsi="Arial" w:cs="Arial"/>
          <w:color w:val="4B4B4B"/>
          <w:sz w:val="18"/>
          <w:szCs w:val="18"/>
        </w:rPr>
        <w:t xml:space="preserve"> i fasci di luce rimangano entro il perimetro delle stesse, l'illuminamento non </w:t>
      </w:r>
      <w:proofErr w:type="spellStart"/>
      <w:r>
        <w:rPr>
          <w:rFonts w:ascii="Arial" w:hAnsi="Arial" w:cs="Arial"/>
          <w:color w:val="4B4B4B"/>
          <w:sz w:val="18"/>
          <w:szCs w:val="18"/>
        </w:rPr>
        <w:t>sueperi</w:t>
      </w:r>
      <w:proofErr w:type="spellEnd"/>
      <w:r>
        <w:rPr>
          <w:rFonts w:ascii="Arial" w:hAnsi="Arial" w:cs="Arial"/>
          <w:color w:val="4B4B4B"/>
          <w:sz w:val="18"/>
          <w:szCs w:val="18"/>
        </w:rPr>
        <w:t xml:space="preserve"> i 15 lux, l'emissione massima al di fuori della sagoma da illuminare non superi i 5 lux e gli apparecchi vengano spenti entro le ore 24:00. </w:t>
      </w:r>
      <w:r>
        <w:rPr>
          <w:rFonts w:ascii="Arial" w:hAnsi="Arial" w:cs="Arial"/>
          <w:color w:val="4B4B4B"/>
          <w:sz w:val="18"/>
          <w:szCs w:val="18"/>
        </w:rPr>
        <w:br/>
        <w:t>• Per le insegne dotate di illuminazione propria, il flusso totale emesso non deve superare i 4500 lm. </w:t>
      </w:r>
      <w:r>
        <w:rPr>
          <w:rFonts w:ascii="Arial" w:hAnsi="Arial" w:cs="Arial"/>
          <w:color w:val="4B4B4B"/>
          <w:sz w:val="18"/>
          <w:szCs w:val="18"/>
        </w:rPr>
        <w:br/>
        <w:t xml:space="preserve">• </w:t>
      </w:r>
      <w:proofErr w:type="gramStart"/>
      <w:r>
        <w:rPr>
          <w:rFonts w:ascii="Arial" w:hAnsi="Arial" w:cs="Arial"/>
          <w:color w:val="4B4B4B"/>
          <w:sz w:val="18"/>
          <w:szCs w:val="18"/>
        </w:rPr>
        <w:t>E'</w:t>
      </w:r>
      <w:proofErr w:type="gramEnd"/>
      <w:r>
        <w:rPr>
          <w:rFonts w:ascii="Arial" w:hAnsi="Arial" w:cs="Arial"/>
          <w:color w:val="4B4B4B"/>
          <w:sz w:val="18"/>
          <w:szCs w:val="18"/>
        </w:rPr>
        <w:t xml:space="preserve"> vietata l'</w:t>
      </w:r>
      <w:proofErr w:type="spellStart"/>
      <w:r>
        <w:rPr>
          <w:rFonts w:ascii="Arial" w:hAnsi="Arial" w:cs="Arial"/>
          <w:color w:val="4B4B4B"/>
          <w:sz w:val="18"/>
          <w:szCs w:val="18"/>
        </w:rPr>
        <w:t>illuminanza</w:t>
      </w:r>
      <w:proofErr w:type="spellEnd"/>
      <w:r>
        <w:rPr>
          <w:rFonts w:ascii="Arial" w:hAnsi="Arial" w:cs="Arial"/>
          <w:color w:val="4B4B4B"/>
          <w:sz w:val="18"/>
          <w:szCs w:val="18"/>
        </w:rPr>
        <w:t xml:space="preserve"> delle piste ciclabili esternamente ai centri abitati. </w:t>
      </w:r>
      <w:proofErr w:type="gramStart"/>
      <w:r>
        <w:rPr>
          <w:rFonts w:ascii="Arial" w:hAnsi="Arial" w:cs="Arial"/>
          <w:color w:val="4B4B4B"/>
          <w:sz w:val="18"/>
          <w:szCs w:val="18"/>
        </w:rPr>
        <w:t>E'</w:t>
      </w:r>
      <w:proofErr w:type="gramEnd"/>
      <w:r>
        <w:rPr>
          <w:rFonts w:ascii="Arial" w:hAnsi="Arial" w:cs="Arial"/>
          <w:color w:val="4B4B4B"/>
          <w:sz w:val="18"/>
          <w:szCs w:val="18"/>
        </w:rPr>
        <w:t xml:space="preserve"> ammessa </w:t>
      </w:r>
      <w:proofErr w:type="spellStart"/>
      <w:r>
        <w:rPr>
          <w:rFonts w:ascii="Arial" w:hAnsi="Arial" w:cs="Arial"/>
          <w:color w:val="4B4B4B"/>
          <w:sz w:val="18"/>
          <w:szCs w:val="18"/>
        </w:rPr>
        <w:t>esclusivamenteuna</w:t>
      </w:r>
      <w:proofErr w:type="spellEnd"/>
      <w:r>
        <w:rPr>
          <w:rFonts w:ascii="Arial" w:hAnsi="Arial" w:cs="Arial"/>
          <w:color w:val="4B4B4B"/>
          <w:sz w:val="18"/>
          <w:szCs w:val="18"/>
        </w:rPr>
        <w:t xml:space="preserve"> illuminazione segnavia di potenza massima di 500W per chilometro di pista.</w:t>
      </w:r>
    </w:p>
    <w:p w:rsidR="00D2737C" w:rsidRDefault="00D2737C" w:rsidP="00D2737C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18"/>
          <w:szCs w:val="18"/>
        </w:rPr>
      </w:pPr>
      <w:r>
        <w:rPr>
          <w:rFonts w:ascii="Arial" w:hAnsi="Arial" w:cs="Arial"/>
          <w:color w:val="4B4B4B"/>
          <w:sz w:val="18"/>
          <w:szCs w:val="18"/>
        </w:rPr>
        <w:t> </w:t>
      </w:r>
    </w:p>
    <w:p w:rsidR="00D2737C" w:rsidRDefault="00D2737C" w:rsidP="00D2737C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18"/>
          <w:szCs w:val="18"/>
        </w:rPr>
      </w:pPr>
      <w:r>
        <w:rPr>
          <w:rStyle w:val="Enfasigrassetto"/>
          <w:rFonts w:eastAsiaTheme="majorEastAsia" w:cs="Arial"/>
          <w:color w:val="4B4B4B"/>
          <w:sz w:val="18"/>
          <w:szCs w:val="18"/>
          <w:bdr w:val="none" w:sz="0" w:space="0" w:color="auto" w:frame="1"/>
        </w:rPr>
        <w:t>Criteri aggiuntivi per le fasce di rispetto:</w:t>
      </w:r>
    </w:p>
    <w:p w:rsidR="00D2737C" w:rsidRDefault="00D2737C" w:rsidP="00D2737C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18"/>
          <w:szCs w:val="18"/>
        </w:rPr>
      </w:pPr>
      <w:r>
        <w:rPr>
          <w:rFonts w:ascii="Arial" w:hAnsi="Arial" w:cs="Arial"/>
          <w:color w:val="4B4B4B"/>
          <w:sz w:val="18"/>
          <w:szCs w:val="18"/>
        </w:rPr>
        <w:t>• I nuovi impianti devono essere dotati di sole lampade al sodio ad alta o bassa pressione; in caso di materiale impossibilità, di lampade con analoga efficienza e di regolatori di flusso.</w:t>
      </w:r>
      <w:r>
        <w:rPr>
          <w:rFonts w:ascii="Arial" w:hAnsi="Arial" w:cs="Arial"/>
          <w:color w:val="4B4B4B"/>
          <w:sz w:val="18"/>
          <w:szCs w:val="18"/>
        </w:rPr>
        <w:br/>
        <w:t>• Gli apparecchi altamente inquinanti come globi, globi con alette schermanti, sistemi a luce indiretta, lanterne o similari esistenti, devono avere per </w:t>
      </w:r>
      <w:r>
        <w:rPr>
          <w:rFonts w:ascii="Symbol" w:hAnsi="Symbol" w:cs="Arial"/>
          <w:color w:val="000000"/>
          <w:sz w:val="16"/>
          <w:szCs w:val="16"/>
          <w:bdr w:val="none" w:sz="0" w:space="0" w:color="auto" w:frame="1"/>
        </w:rPr>
        <w:t></w:t>
      </w:r>
      <w:r>
        <w:rPr>
          <w:rFonts w:ascii="Arial" w:hAnsi="Arial" w:cs="Arial"/>
          <w:color w:val="4B4B4B"/>
          <w:sz w:val="18"/>
          <w:szCs w:val="18"/>
        </w:rPr>
        <w:t> &gt;= 90°, intensità luminosa &gt;= 15 cd per 1000 lm. </w:t>
      </w:r>
      <w:r>
        <w:rPr>
          <w:rFonts w:ascii="Arial" w:hAnsi="Arial" w:cs="Arial"/>
          <w:color w:val="4B4B4B"/>
          <w:sz w:val="18"/>
          <w:szCs w:val="18"/>
        </w:rPr>
        <w:br/>
        <w:t>• Gli impianti esistenti, pur mantenendo i livelli minimi di sicurezza, se previsti, possono in luogo dell'impiego di variatori di flusso, essere parzializzati al 50% entro le ore 23:00 nel periodo di ora solare ed entro le ore 24:00 nel periodo di ora legale.</w:t>
      </w:r>
    </w:p>
    <w:p w:rsidR="00D2737C" w:rsidRDefault="00D2737C" w:rsidP="00D2737C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18"/>
          <w:szCs w:val="18"/>
        </w:rPr>
      </w:pPr>
      <w:r>
        <w:rPr>
          <w:rFonts w:ascii="Arial" w:hAnsi="Arial" w:cs="Arial"/>
          <w:color w:val="4B4B4B"/>
          <w:sz w:val="18"/>
          <w:szCs w:val="18"/>
        </w:rPr>
        <w:t> </w:t>
      </w:r>
    </w:p>
    <w:p w:rsidR="00D2737C" w:rsidRDefault="00D2737C" w:rsidP="00D2737C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18"/>
          <w:szCs w:val="18"/>
        </w:rPr>
      </w:pPr>
      <w:r>
        <w:rPr>
          <w:rStyle w:val="Enfasigrassetto"/>
          <w:rFonts w:eastAsiaTheme="majorEastAsia" w:cs="Arial"/>
          <w:color w:val="4B4B4B"/>
          <w:sz w:val="18"/>
          <w:szCs w:val="18"/>
          <w:bdr w:val="none" w:sz="0" w:space="0" w:color="auto" w:frame="1"/>
        </w:rPr>
        <w:t>Deroghe:</w:t>
      </w:r>
    </w:p>
    <w:p w:rsidR="00D2737C" w:rsidRDefault="00D2737C" w:rsidP="00D2737C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18"/>
          <w:szCs w:val="18"/>
        </w:rPr>
      </w:pPr>
      <w:r>
        <w:rPr>
          <w:rFonts w:ascii="Arial" w:hAnsi="Arial" w:cs="Arial"/>
          <w:color w:val="4B4B4B"/>
          <w:sz w:val="18"/>
          <w:szCs w:val="18"/>
        </w:rPr>
        <w:t xml:space="preserve">• Tutte le sorgenti luminose </w:t>
      </w:r>
      <w:proofErr w:type="spellStart"/>
      <w:r>
        <w:rPr>
          <w:rFonts w:ascii="Arial" w:hAnsi="Arial" w:cs="Arial"/>
          <w:color w:val="4B4B4B"/>
          <w:sz w:val="18"/>
          <w:szCs w:val="18"/>
        </w:rPr>
        <w:t>internalizzate</w:t>
      </w:r>
      <w:proofErr w:type="spellEnd"/>
      <w:r>
        <w:rPr>
          <w:rFonts w:ascii="Arial" w:hAnsi="Arial" w:cs="Arial"/>
          <w:color w:val="4B4B4B"/>
          <w:sz w:val="18"/>
          <w:szCs w:val="18"/>
        </w:rPr>
        <w:t>. </w:t>
      </w:r>
      <w:r>
        <w:rPr>
          <w:rFonts w:ascii="Arial" w:hAnsi="Arial" w:cs="Arial"/>
          <w:color w:val="4B4B4B"/>
          <w:sz w:val="18"/>
          <w:szCs w:val="18"/>
        </w:rPr>
        <w:br/>
        <w:t>• Impianti realizzati con un massimo di 3 centri luminosi aventi sorgenti con emissione massima di 1500 lm cadauna.</w:t>
      </w:r>
      <w:r>
        <w:rPr>
          <w:rFonts w:ascii="Arial" w:hAnsi="Arial" w:cs="Arial"/>
          <w:color w:val="4B4B4B"/>
          <w:sz w:val="18"/>
          <w:szCs w:val="18"/>
        </w:rPr>
        <w:br/>
        <w:t>• Impianti realizzati con più di 3 centri luminosi aventi sorgenti con emissione massima di 1500 lm cadauna e flusso totale emesso da tutti i centri luminosi inferiore a 2250 lm per </w:t>
      </w:r>
      <w:r>
        <w:rPr>
          <w:rFonts w:ascii="Symbol" w:hAnsi="Symbol" w:cs="Arial"/>
          <w:color w:val="000000"/>
          <w:sz w:val="16"/>
          <w:szCs w:val="16"/>
          <w:bdr w:val="none" w:sz="0" w:space="0" w:color="auto" w:frame="1"/>
        </w:rPr>
        <w:t></w:t>
      </w:r>
      <w:r>
        <w:rPr>
          <w:rFonts w:ascii="Arial" w:hAnsi="Arial" w:cs="Arial"/>
          <w:color w:val="4B4B4B"/>
          <w:sz w:val="18"/>
          <w:szCs w:val="18"/>
        </w:rPr>
        <w:t> &gt;= 90°.</w:t>
      </w:r>
      <w:r>
        <w:rPr>
          <w:rFonts w:ascii="Arial" w:hAnsi="Arial" w:cs="Arial"/>
          <w:color w:val="4B4B4B"/>
          <w:sz w:val="18"/>
          <w:szCs w:val="18"/>
        </w:rPr>
        <w:br/>
        <w:t>• Le sorgenti di luce di uso temporaneo o che vengano spente entro le ore 20:00 nel periodo di ora solare ed entro le ore 22:00 nel periodo di ora legale.</w:t>
      </w:r>
      <w:r>
        <w:rPr>
          <w:rFonts w:ascii="Arial" w:hAnsi="Arial" w:cs="Arial"/>
          <w:color w:val="4B4B4B"/>
          <w:sz w:val="18"/>
          <w:szCs w:val="18"/>
        </w:rPr>
        <w:br/>
        <w:t>• Impianti sportivi - In impianti sportivi con oltre 5000 posti a sedere è concessa un'intensità luminosa massima &gt; 0,49 cd per 1000 lm per </w:t>
      </w:r>
      <w:r>
        <w:rPr>
          <w:rFonts w:ascii="Symbol" w:hAnsi="Symbol" w:cs="Arial"/>
          <w:color w:val="000000"/>
          <w:sz w:val="16"/>
          <w:szCs w:val="16"/>
          <w:bdr w:val="none" w:sz="0" w:space="0" w:color="auto" w:frame="1"/>
        </w:rPr>
        <w:t></w:t>
      </w:r>
      <w:r>
        <w:rPr>
          <w:rFonts w:ascii="Arial" w:hAnsi="Arial" w:cs="Arial"/>
          <w:color w:val="4B4B4B"/>
          <w:sz w:val="18"/>
          <w:szCs w:val="18"/>
        </w:rPr>
        <w:t> &gt;= 90° a condizione che vengano spenti entro le ore 24:00.</w:t>
      </w:r>
    </w:p>
    <w:bookmarkEnd w:id="0"/>
    <w:p w:rsidR="00D2737C" w:rsidRDefault="00D2737C"/>
    <w:sectPr w:rsidR="00D2737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DCF"/>
    <w:rsid w:val="0050090E"/>
    <w:rsid w:val="00521236"/>
    <w:rsid w:val="005D5733"/>
    <w:rsid w:val="005F10CE"/>
    <w:rsid w:val="00871591"/>
    <w:rsid w:val="00A37549"/>
    <w:rsid w:val="00B47FCD"/>
    <w:rsid w:val="00B9314B"/>
    <w:rsid w:val="00D2474E"/>
    <w:rsid w:val="00D2737C"/>
    <w:rsid w:val="00E2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65883"/>
  <w15:chartTrackingRefBased/>
  <w15:docId w15:val="{D0CA22EF-B3B9-46A4-9AFB-B918D5111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2474E"/>
    <w:pPr>
      <w:keepNext/>
      <w:keepLines/>
      <w:spacing w:before="240" w:after="0"/>
      <w:outlineLvl w:val="0"/>
    </w:pPr>
    <w:rPr>
      <w:rFonts w:ascii="Arial Black" w:eastAsiaTheme="majorEastAsia" w:hAnsi="Arial Black" w:cstheme="majorBidi"/>
      <w:b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2474E"/>
    <w:pPr>
      <w:keepNext/>
      <w:keepLines/>
      <w:spacing w:before="40" w:after="0"/>
      <w:outlineLvl w:val="1"/>
    </w:pPr>
    <w:rPr>
      <w:rFonts w:ascii="Arial" w:eastAsiaTheme="majorEastAsia" w:hAnsi="Arial" w:cstheme="majorBidi"/>
      <w:b/>
      <w:sz w:val="28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2474E"/>
    <w:pPr>
      <w:keepNext/>
      <w:keepLines/>
      <w:spacing w:before="40" w:after="0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5D573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2474E"/>
    <w:rPr>
      <w:rFonts w:ascii="Arial Black" w:eastAsiaTheme="majorEastAsia" w:hAnsi="Arial Black" w:cstheme="majorBidi"/>
      <w:b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2474E"/>
    <w:rPr>
      <w:rFonts w:ascii="Arial" w:eastAsiaTheme="majorEastAsia" w:hAnsi="Arial" w:cstheme="majorBidi"/>
      <w:b/>
      <w:sz w:val="28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2474E"/>
    <w:rPr>
      <w:rFonts w:ascii="Arial" w:eastAsiaTheme="majorEastAsia" w:hAnsi="Arial" w:cstheme="majorBidi"/>
      <w:b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E25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E25DCF"/>
    <w:rPr>
      <w:b/>
      <w:bCs/>
    </w:rPr>
  </w:style>
  <w:style w:type="character" w:customStyle="1" w:styleId="Titolo4Carattere">
    <w:name w:val="Titolo 4 Carattere"/>
    <w:basedOn w:val="Carpredefinitoparagrafo"/>
    <w:link w:val="Titolo4"/>
    <w:uiPriority w:val="9"/>
    <w:rsid w:val="005D5733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2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2674</Words>
  <Characters>15248</Characters>
  <Application>Microsoft Office Word</Application>
  <DocSecurity>0</DocSecurity>
  <Lines>127</Lines>
  <Paragraphs>35</Paragraphs>
  <ScaleCrop>false</ScaleCrop>
  <Company/>
  <LinksUpToDate>false</LinksUpToDate>
  <CharactersWithSpaces>17887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STUDIO SANTORO</dc:creator>
  <cp:keywords/>
  <dc:description/>
  <cp:lastModifiedBy>STUDIO SANTORO</cp:lastModifiedBy>
  <cp:revision>8</cp:revision>
  <dcterms:created xsi:type="dcterms:W3CDTF">2017-12-07T11:12:00Z</dcterms:created>
  <dcterms:modified xsi:type="dcterms:W3CDTF">2017-12-07T11:21:00Z</dcterms:modified>
</cp:coreProperties>
</file>